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57"/>
        <w:tblW w:w="0" w:type="auto"/>
        <w:tblLook w:val="04A0" w:firstRow="1" w:lastRow="0" w:firstColumn="1" w:lastColumn="0" w:noHBand="0" w:noVBand="1"/>
      </w:tblPr>
      <w:tblGrid>
        <w:gridCol w:w="2289"/>
        <w:gridCol w:w="1834"/>
        <w:gridCol w:w="1834"/>
        <w:gridCol w:w="1835"/>
        <w:gridCol w:w="2664"/>
      </w:tblGrid>
      <w:tr w:rsidR="006511ED" w:rsidRPr="00A23BAA" w14:paraId="6981AF0C" w14:textId="6C93E0A7" w:rsidTr="006561ED">
        <w:trPr>
          <w:trHeight w:val="242"/>
        </w:trPr>
        <w:tc>
          <w:tcPr>
            <w:tcW w:w="2289" w:type="dxa"/>
          </w:tcPr>
          <w:p w14:paraId="129533EA" w14:textId="1630B6F4" w:rsidR="006511ED" w:rsidRPr="00A23BAA" w:rsidRDefault="006511ED" w:rsidP="00A23BAA">
            <w:pPr>
              <w:jc w:val="center"/>
              <w:rPr>
                <w:rFonts w:ascii="Arial" w:hAnsi="Arial" w:cs="Arial"/>
                <w:b/>
                <w:bCs/>
                <w:lang w:val="en-US"/>
              </w:rPr>
            </w:pPr>
            <w:r w:rsidRPr="00A23BAA">
              <w:rPr>
                <w:rFonts w:ascii="Arial" w:hAnsi="Arial" w:cs="Arial"/>
                <w:b/>
                <w:bCs/>
                <w:lang w:val="en-US"/>
              </w:rPr>
              <w:t>Year</w:t>
            </w:r>
          </w:p>
        </w:tc>
        <w:tc>
          <w:tcPr>
            <w:tcW w:w="1834" w:type="dxa"/>
          </w:tcPr>
          <w:p w14:paraId="00F5450B" w14:textId="3E04B78C" w:rsidR="006511ED" w:rsidRPr="00A23BAA" w:rsidRDefault="006511ED" w:rsidP="00A23BAA">
            <w:pPr>
              <w:jc w:val="center"/>
              <w:rPr>
                <w:rFonts w:ascii="Arial" w:hAnsi="Arial" w:cs="Arial"/>
                <w:b/>
                <w:bCs/>
                <w:lang w:val="en-US"/>
              </w:rPr>
            </w:pPr>
            <w:r w:rsidRPr="00A23BAA">
              <w:rPr>
                <w:rFonts w:ascii="Arial" w:hAnsi="Arial" w:cs="Arial"/>
                <w:b/>
                <w:bCs/>
                <w:lang w:val="en-US"/>
              </w:rPr>
              <w:t>19-20</w:t>
            </w:r>
          </w:p>
        </w:tc>
        <w:tc>
          <w:tcPr>
            <w:tcW w:w="1834" w:type="dxa"/>
          </w:tcPr>
          <w:p w14:paraId="5C6670D7" w14:textId="32902707" w:rsidR="006511ED" w:rsidRPr="00A23BAA" w:rsidRDefault="006511ED" w:rsidP="00A23BAA">
            <w:pPr>
              <w:jc w:val="center"/>
              <w:rPr>
                <w:rFonts w:ascii="Arial" w:hAnsi="Arial" w:cs="Arial"/>
                <w:b/>
                <w:bCs/>
                <w:lang w:val="en-US"/>
              </w:rPr>
            </w:pPr>
            <w:r w:rsidRPr="00A23BAA">
              <w:rPr>
                <w:rFonts w:ascii="Arial" w:hAnsi="Arial" w:cs="Arial"/>
                <w:b/>
                <w:bCs/>
                <w:lang w:val="en-US"/>
              </w:rPr>
              <w:t>20-21</w:t>
            </w:r>
          </w:p>
        </w:tc>
        <w:tc>
          <w:tcPr>
            <w:tcW w:w="1835" w:type="dxa"/>
          </w:tcPr>
          <w:p w14:paraId="6103CAA3" w14:textId="6D7A9AF6" w:rsidR="006511ED" w:rsidRPr="00A23BAA" w:rsidRDefault="006511ED" w:rsidP="00A23BAA">
            <w:pPr>
              <w:jc w:val="center"/>
              <w:rPr>
                <w:rFonts w:ascii="Arial" w:hAnsi="Arial" w:cs="Arial"/>
                <w:b/>
                <w:bCs/>
                <w:lang w:val="en-US"/>
              </w:rPr>
            </w:pPr>
            <w:r w:rsidRPr="00A23BAA">
              <w:rPr>
                <w:rFonts w:ascii="Arial" w:hAnsi="Arial" w:cs="Arial"/>
                <w:b/>
                <w:bCs/>
                <w:lang w:val="en-US"/>
              </w:rPr>
              <w:t>21-22</w:t>
            </w:r>
          </w:p>
        </w:tc>
        <w:tc>
          <w:tcPr>
            <w:tcW w:w="2664" w:type="dxa"/>
          </w:tcPr>
          <w:p w14:paraId="001E5A49" w14:textId="161A3A9F" w:rsidR="006511ED" w:rsidRPr="00A23BAA" w:rsidRDefault="006511ED" w:rsidP="00A23BAA">
            <w:pPr>
              <w:jc w:val="center"/>
              <w:rPr>
                <w:rFonts w:ascii="Arial" w:hAnsi="Arial" w:cs="Arial"/>
                <w:b/>
                <w:bCs/>
                <w:lang w:val="en-US"/>
              </w:rPr>
            </w:pPr>
            <w:r w:rsidRPr="00A23BAA">
              <w:rPr>
                <w:rFonts w:ascii="Arial" w:hAnsi="Arial" w:cs="Arial"/>
                <w:b/>
                <w:bCs/>
                <w:lang w:val="en-US"/>
              </w:rPr>
              <w:t>22-23</w:t>
            </w:r>
          </w:p>
        </w:tc>
      </w:tr>
      <w:tr w:rsidR="006511ED" w:rsidRPr="00A23BAA" w14:paraId="5804A77B" w14:textId="277A607D" w:rsidTr="006561ED">
        <w:trPr>
          <w:trHeight w:val="1976"/>
        </w:trPr>
        <w:tc>
          <w:tcPr>
            <w:tcW w:w="2289" w:type="dxa"/>
            <w:vAlign w:val="center"/>
          </w:tcPr>
          <w:p w14:paraId="2F25456A" w14:textId="6A2F0F4A" w:rsidR="006511ED" w:rsidRPr="00A23BAA" w:rsidRDefault="006511ED" w:rsidP="00A23BAA">
            <w:pPr>
              <w:rPr>
                <w:rFonts w:ascii="Arial" w:hAnsi="Arial" w:cs="Arial"/>
                <w:lang w:val="en-US"/>
              </w:rPr>
            </w:pPr>
            <w:r w:rsidRPr="00A23BAA">
              <w:rPr>
                <w:rFonts w:ascii="Arial" w:hAnsi="Arial" w:cs="Arial"/>
                <w:lang w:val="en-US"/>
              </w:rPr>
              <w:t>Average iASEND progress</w:t>
            </w:r>
          </w:p>
        </w:tc>
        <w:tc>
          <w:tcPr>
            <w:tcW w:w="1834" w:type="dxa"/>
            <w:vAlign w:val="center"/>
          </w:tcPr>
          <w:p w14:paraId="43E4B61F" w14:textId="76CABE50" w:rsidR="006511ED" w:rsidRPr="00A23BAA" w:rsidRDefault="00E94EAF" w:rsidP="006561ED">
            <w:pPr>
              <w:jc w:val="center"/>
              <w:rPr>
                <w:rFonts w:ascii="Arial" w:hAnsi="Arial" w:cs="Arial"/>
                <w:lang w:val="en-US"/>
              </w:rPr>
            </w:pPr>
            <w:r>
              <w:rPr>
                <w:rFonts w:ascii="Arial" w:hAnsi="Arial" w:cs="Arial"/>
                <w:lang w:val="en-US"/>
              </w:rPr>
              <w:t>13%</w:t>
            </w:r>
          </w:p>
        </w:tc>
        <w:tc>
          <w:tcPr>
            <w:tcW w:w="1834" w:type="dxa"/>
            <w:vAlign w:val="center"/>
          </w:tcPr>
          <w:p w14:paraId="382B8918" w14:textId="5BEA933D" w:rsidR="006511ED" w:rsidRPr="00A23BAA" w:rsidRDefault="006511ED" w:rsidP="006561ED">
            <w:pPr>
              <w:jc w:val="center"/>
              <w:rPr>
                <w:rFonts w:ascii="Arial" w:hAnsi="Arial" w:cs="Arial"/>
                <w:lang w:val="en-US"/>
              </w:rPr>
            </w:pPr>
            <w:r w:rsidRPr="00A23BAA">
              <w:rPr>
                <w:rFonts w:ascii="Arial" w:hAnsi="Arial" w:cs="Arial"/>
                <w:lang w:val="en-US"/>
              </w:rPr>
              <w:t>11%</w:t>
            </w:r>
          </w:p>
        </w:tc>
        <w:tc>
          <w:tcPr>
            <w:tcW w:w="1835" w:type="dxa"/>
            <w:vAlign w:val="center"/>
          </w:tcPr>
          <w:p w14:paraId="793742A5" w14:textId="00BB0406" w:rsidR="006511ED" w:rsidRPr="00A23BAA" w:rsidRDefault="006511ED" w:rsidP="006561ED">
            <w:pPr>
              <w:jc w:val="center"/>
              <w:rPr>
                <w:rFonts w:ascii="Arial" w:hAnsi="Arial" w:cs="Arial"/>
                <w:lang w:val="en-US"/>
              </w:rPr>
            </w:pPr>
            <w:r w:rsidRPr="00A23BAA">
              <w:rPr>
                <w:rFonts w:ascii="Arial" w:hAnsi="Arial" w:cs="Arial"/>
                <w:lang w:val="en-US"/>
              </w:rPr>
              <w:t>18%</w:t>
            </w:r>
          </w:p>
        </w:tc>
        <w:tc>
          <w:tcPr>
            <w:tcW w:w="2664" w:type="dxa"/>
            <w:vAlign w:val="center"/>
          </w:tcPr>
          <w:p w14:paraId="72386E9A" w14:textId="59276A10" w:rsidR="00A23BAA" w:rsidRPr="00A23BAA" w:rsidRDefault="00A23BAA" w:rsidP="00A23BAA">
            <w:pPr>
              <w:rPr>
                <w:rFonts w:ascii="Arial" w:hAnsi="Arial" w:cs="Arial"/>
                <w:lang w:val="en-US"/>
              </w:rPr>
            </w:pPr>
            <w:r w:rsidRPr="00A23BAA">
              <w:rPr>
                <w:rFonts w:ascii="Arial" w:hAnsi="Arial" w:cs="Arial"/>
                <w:lang w:val="en-US"/>
              </w:rPr>
              <w:t>Anticipated progress: 9%</w:t>
            </w:r>
          </w:p>
          <w:p w14:paraId="66677CEA" w14:textId="704C5039" w:rsidR="006511ED" w:rsidRPr="00A23BAA" w:rsidRDefault="006511ED" w:rsidP="00A23BAA">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12%</w:t>
            </w:r>
          </w:p>
          <w:p w14:paraId="3B05AF6B" w14:textId="202BC53E" w:rsidR="006511ED" w:rsidRPr="00A23BAA" w:rsidRDefault="006511ED" w:rsidP="00A23BAA">
            <w:pPr>
              <w:rPr>
                <w:rFonts w:ascii="Arial" w:hAnsi="Arial" w:cs="Arial"/>
                <w:lang w:val="en-US"/>
              </w:rPr>
            </w:pPr>
            <w:r w:rsidRPr="00A23BAA">
              <w:rPr>
                <w:rFonts w:ascii="Arial" w:hAnsi="Arial" w:cs="Arial"/>
                <w:lang w:val="en-US"/>
              </w:rPr>
              <w:t>AP1:</w:t>
            </w:r>
            <w:r w:rsidR="00F15B30">
              <w:rPr>
                <w:rFonts w:ascii="Arial" w:hAnsi="Arial" w:cs="Arial"/>
                <w:lang w:val="en-US"/>
              </w:rPr>
              <w:t>4%</w:t>
            </w:r>
          </w:p>
          <w:p w14:paraId="0203594A" w14:textId="5F2DBE76" w:rsidR="006511ED" w:rsidRPr="00A23BAA" w:rsidRDefault="006511ED" w:rsidP="00A23BAA">
            <w:pPr>
              <w:rPr>
                <w:rFonts w:ascii="Arial" w:hAnsi="Arial" w:cs="Arial"/>
                <w:lang w:val="en-US"/>
              </w:rPr>
            </w:pPr>
            <w:r w:rsidRPr="00A23BAA">
              <w:rPr>
                <w:rFonts w:ascii="Arial" w:hAnsi="Arial" w:cs="Arial"/>
                <w:lang w:val="en-US"/>
              </w:rPr>
              <w:t>AP2:</w:t>
            </w:r>
            <w:r w:rsidR="00157637">
              <w:rPr>
                <w:rFonts w:ascii="Arial" w:hAnsi="Arial" w:cs="Arial"/>
                <w:lang w:val="en-US"/>
              </w:rPr>
              <w:t xml:space="preserve"> 8%</w:t>
            </w:r>
          </w:p>
          <w:p w14:paraId="01DBFBF2" w14:textId="77777777" w:rsidR="006511ED" w:rsidRPr="00A23BAA" w:rsidRDefault="006511ED" w:rsidP="00A23BAA">
            <w:pPr>
              <w:rPr>
                <w:rFonts w:ascii="Arial" w:hAnsi="Arial" w:cs="Arial"/>
                <w:lang w:val="en-US"/>
              </w:rPr>
            </w:pPr>
            <w:r w:rsidRPr="00A23BAA">
              <w:rPr>
                <w:rFonts w:ascii="Arial" w:hAnsi="Arial" w:cs="Arial"/>
                <w:lang w:val="en-US"/>
              </w:rPr>
              <w:t>AP3:</w:t>
            </w:r>
          </w:p>
          <w:p w14:paraId="79A767B6" w14:textId="77777777" w:rsidR="006511ED" w:rsidRPr="00A23BAA" w:rsidRDefault="006511ED" w:rsidP="00A23BAA">
            <w:pPr>
              <w:rPr>
                <w:rFonts w:ascii="Arial" w:hAnsi="Arial" w:cs="Arial"/>
                <w:lang w:val="en-US"/>
              </w:rPr>
            </w:pPr>
            <w:r w:rsidRPr="00A23BAA">
              <w:rPr>
                <w:rFonts w:ascii="Arial" w:hAnsi="Arial" w:cs="Arial"/>
                <w:lang w:val="en-US"/>
              </w:rPr>
              <w:t>AP4:</w:t>
            </w:r>
          </w:p>
          <w:p w14:paraId="6D210D8C" w14:textId="77777777" w:rsidR="006511ED" w:rsidRPr="00A23BAA" w:rsidRDefault="006511ED" w:rsidP="00A23BAA">
            <w:pPr>
              <w:rPr>
                <w:rFonts w:ascii="Arial" w:hAnsi="Arial" w:cs="Arial"/>
                <w:lang w:val="en-US"/>
              </w:rPr>
            </w:pPr>
            <w:r w:rsidRPr="00A23BAA">
              <w:rPr>
                <w:rFonts w:ascii="Arial" w:hAnsi="Arial" w:cs="Arial"/>
                <w:lang w:val="en-US"/>
              </w:rPr>
              <w:t>AP5:</w:t>
            </w:r>
          </w:p>
          <w:p w14:paraId="1CD45735" w14:textId="47A19951" w:rsidR="006511ED" w:rsidRPr="00A23BAA" w:rsidRDefault="006511ED" w:rsidP="00A23BAA">
            <w:pPr>
              <w:rPr>
                <w:rFonts w:ascii="Arial" w:hAnsi="Arial" w:cs="Arial"/>
                <w:lang w:val="en-US"/>
              </w:rPr>
            </w:pPr>
            <w:r w:rsidRPr="00A23BAA">
              <w:rPr>
                <w:rFonts w:ascii="Arial" w:hAnsi="Arial" w:cs="Arial"/>
                <w:lang w:val="en-US"/>
              </w:rPr>
              <w:t>AP6:</w:t>
            </w:r>
          </w:p>
        </w:tc>
      </w:tr>
    </w:tbl>
    <w:p w14:paraId="18B8C776" w14:textId="147E5C18" w:rsidR="00B614BB" w:rsidRDefault="00B614BB">
      <w:pPr>
        <w:rPr>
          <w:rFonts w:ascii="Arial" w:hAnsi="Arial" w:cs="Arial"/>
          <w:lang w:val="en-US"/>
        </w:rPr>
      </w:pPr>
    </w:p>
    <w:p w14:paraId="4E9FC41C" w14:textId="62333345" w:rsidR="00A23BAA" w:rsidRDefault="00A23BAA">
      <w:pPr>
        <w:rPr>
          <w:rFonts w:ascii="Arial" w:hAnsi="Arial" w:cs="Arial"/>
          <w:lang w:val="en-US"/>
        </w:rPr>
      </w:pPr>
    </w:p>
    <w:p w14:paraId="6142DABF" w14:textId="77777777" w:rsidR="00A23BAA" w:rsidRPr="00A23BAA" w:rsidRDefault="00A23BAA">
      <w:pPr>
        <w:rPr>
          <w:rFonts w:ascii="Arial" w:hAnsi="Arial" w:cs="Arial"/>
          <w:lang w:val="en-US"/>
        </w:rPr>
      </w:pPr>
    </w:p>
    <w:tbl>
      <w:tblPr>
        <w:tblStyle w:val="TableGrid"/>
        <w:tblW w:w="0" w:type="auto"/>
        <w:tblLook w:val="04A0" w:firstRow="1" w:lastRow="0" w:firstColumn="1" w:lastColumn="0" w:noHBand="0" w:noVBand="1"/>
      </w:tblPr>
      <w:tblGrid>
        <w:gridCol w:w="2293"/>
        <w:gridCol w:w="1833"/>
        <w:gridCol w:w="1833"/>
        <w:gridCol w:w="1833"/>
        <w:gridCol w:w="2664"/>
      </w:tblGrid>
      <w:tr w:rsidR="006511ED" w:rsidRPr="00A23BAA" w14:paraId="3A5BC0F0" w14:textId="367E11FA" w:rsidTr="006561ED">
        <w:trPr>
          <w:trHeight w:val="253"/>
        </w:trPr>
        <w:tc>
          <w:tcPr>
            <w:tcW w:w="2293" w:type="dxa"/>
          </w:tcPr>
          <w:p w14:paraId="1A5F2C6A" w14:textId="77777777" w:rsidR="006511ED" w:rsidRPr="00A23BAA" w:rsidRDefault="006511ED" w:rsidP="00DD47F5">
            <w:pPr>
              <w:jc w:val="center"/>
              <w:rPr>
                <w:rFonts w:ascii="Arial" w:hAnsi="Arial" w:cs="Arial"/>
                <w:b/>
                <w:bCs/>
                <w:lang w:val="en-US"/>
              </w:rPr>
            </w:pPr>
            <w:r w:rsidRPr="00A23BAA">
              <w:rPr>
                <w:rFonts w:ascii="Arial" w:hAnsi="Arial" w:cs="Arial"/>
                <w:b/>
                <w:bCs/>
                <w:lang w:val="en-US"/>
              </w:rPr>
              <w:t>Year</w:t>
            </w:r>
          </w:p>
        </w:tc>
        <w:tc>
          <w:tcPr>
            <w:tcW w:w="1833" w:type="dxa"/>
          </w:tcPr>
          <w:p w14:paraId="5037A7F0" w14:textId="77777777" w:rsidR="006511ED" w:rsidRPr="00A23BAA" w:rsidRDefault="006511ED" w:rsidP="00DD47F5">
            <w:pPr>
              <w:jc w:val="center"/>
              <w:rPr>
                <w:rFonts w:ascii="Arial" w:hAnsi="Arial" w:cs="Arial"/>
                <w:b/>
                <w:bCs/>
                <w:lang w:val="en-US"/>
              </w:rPr>
            </w:pPr>
            <w:r w:rsidRPr="00A23BAA">
              <w:rPr>
                <w:rFonts w:ascii="Arial" w:hAnsi="Arial" w:cs="Arial"/>
                <w:b/>
                <w:bCs/>
                <w:lang w:val="en-US"/>
              </w:rPr>
              <w:t>19-20</w:t>
            </w:r>
          </w:p>
        </w:tc>
        <w:tc>
          <w:tcPr>
            <w:tcW w:w="1833" w:type="dxa"/>
          </w:tcPr>
          <w:p w14:paraId="02327C55" w14:textId="77777777" w:rsidR="006511ED" w:rsidRPr="00A23BAA" w:rsidRDefault="006511ED" w:rsidP="00DD47F5">
            <w:pPr>
              <w:jc w:val="center"/>
              <w:rPr>
                <w:rFonts w:ascii="Arial" w:hAnsi="Arial" w:cs="Arial"/>
                <w:b/>
                <w:bCs/>
                <w:lang w:val="en-US"/>
              </w:rPr>
            </w:pPr>
            <w:r w:rsidRPr="00A23BAA">
              <w:rPr>
                <w:rFonts w:ascii="Arial" w:hAnsi="Arial" w:cs="Arial"/>
                <w:b/>
                <w:bCs/>
                <w:lang w:val="en-US"/>
              </w:rPr>
              <w:t>20-21</w:t>
            </w:r>
          </w:p>
        </w:tc>
        <w:tc>
          <w:tcPr>
            <w:tcW w:w="1833" w:type="dxa"/>
          </w:tcPr>
          <w:p w14:paraId="65D869B2" w14:textId="77777777" w:rsidR="006511ED" w:rsidRPr="00A23BAA" w:rsidRDefault="006511ED" w:rsidP="00DD47F5">
            <w:pPr>
              <w:jc w:val="center"/>
              <w:rPr>
                <w:rFonts w:ascii="Arial" w:hAnsi="Arial" w:cs="Arial"/>
                <w:b/>
                <w:bCs/>
                <w:lang w:val="en-US"/>
              </w:rPr>
            </w:pPr>
            <w:r w:rsidRPr="00A23BAA">
              <w:rPr>
                <w:rFonts w:ascii="Arial" w:hAnsi="Arial" w:cs="Arial"/>
                <w:b/>
                <w:bCs/>
                <w:lang w:val="en-US"/>
              </w:rPr>
              <w:t>21-22</w:t>
            </w:r>
          </w:p>
        </w:tc>
        <w:tc>
          <w:tcPr>
            <w:tcW w:w="2664" w:type="dxa"/>
          </w:tcPr>
          <w:p w14:paraId="1D84866E" w14:textId="2905FCE5" w:rsidR="006511ED" w:rsidRPr="00A23BAA" w:rsidRDefault="006511ED" w:rsidP="00DD47F5">
            <w:pPr>
              <w:jc w:val="center"/>
              <w:rPr>
                <w:rFonts w:ascii="Arial" w:hAnsi="Arial" w:cs="Arial"/>
                <w:b/>
                <w:bCs/>
                <w:lang w:val="en-US"/>
              </w:rPr>
            </w:pPr>
            <w:r w:rsidRPr="00A23BAA">
              <w:rPr>
                <w:rFonts w:ascii="Arial" w:hAnsi="Arial" w:cs="Arial"/>
                <w:b/>
                <w:bCs/>
                <w:lang w:val="en-US"/>
              </w:rPr>
              <w:t>22-23</w:t>
            </w:r>
          </w:p>
        </w:tc>
      </w:tr>
      <w:tr w:rsidR="006511ED" w:rsidRPr="00A23BAA" w14:paraId="3A8850E3" w14:textId="0025DEF1" w:rsidTr="006561ED">
        <w:trPr>
          <w:trHeight w:val="772"/>
        </w:trPr>
        <w:tc>
          <w:tcPr>
            <w:tcW w:w="2293" w:type="dxa"/>
            <w:vAlign w:val="center"/>
          </w:tcPr>
          <w:p w14:paraId="6D05778C" w14:textId="60B40C13" w:rsidR="006511ED" w:rsidRPr="00A23BAA" w:rsidRDefault="006511ED" w:rsidP="00DD47F5">
            <w:pPr>
              <w:rPr>
                <w:rFonts w:ascii="Arial" w:hAnsi="Arial" w:cs="Arial"/>
                <w:lang w:val="en-US"/>
              </w:rPr>
            </w:pPr>
            <w:r w:rsidRPr="00A23BAA">
              <w:rPr>
                <w:rFonts w:ascii="Arial" w:hAnsi="Arial" w:cs="Arial"/>
                <w:lang w:val="en-US"/>
              </w:rPr>
              <w:t>Average iASEND progress – strand A</w:t>
            </w:r>
          </w:p>
        </w:tc>
        <w:tc>
          <w:tcPr>
            <w:tcW w:w="1833" w:type="dxa"/>
            <w:vAlign w:val="center"/>
          </w:tcPr>
          <w:p w14:paraId="05C83731" w14:textId="7A2CBCAA" w:rsidR="006511ED" w:rsidRPr="00A23BAA" w:rsidRDefault="00E94EAF" w:rsidP="006561ED">
            <w:pPr>
              <w:jc w:val="center"/>
              <w:rPr>
                <w:rFonts w:ascii="Arial" w:hAnsi="Arial" w:cs="Arial"/>
                <w:lang w:val="en-US"/>
              </w:rPr>
            </w:pPr>
            <w:r>
              <w:rPr>
                <w:rFonts w:ascii="Arial" w:hAnsi="Arial" w:cs="Arial"/>
                <w:lang w:val="en-US"/>
              </w:rPr>
              <w:t>9%</w:t>
            </w:r>
          </w:p>
        </w:tc>
        <w:tc>
          <w:tcPr>
            <w:tcW w:w="1833" w:type="dxa"/>
            <w:vAlign w:val="center"/>
          </w:tcPr>
          <w:p w14:paraId="6CF9F3B1" w14:textId="1B6CA9A2" w:rsidR="006511ED" w:rsidRPr="00A23BAA" w:rsidRDefault="00DB7D70" w:rsidP="006561ED">
            <w:pPr>
              <w:jc w:val="center"/>
              <w:rPr>
                <w:rFonts w:ascii="Arial" w:hAnsi="Arial" w:cs="Arial"/>
                <w:lang w:val="en-US"/>
              </w:rPr>
            </w:pPr>
            <w:r w:rsidRPr="00A23BAA">
              <w:rPr>
                <w:rFonts w:ascii="Arial" w:hAnsi="Arial" w:cs="Arial"/>
                <w:lang w:val="en-US"/>
              </w:rPr>
              <w:t>9%</w:t>
            </w:r>
          </w:p>
        </w:tc>
        <w:tc>
          <w:tcPr>
            <w:tcW w:w="1833" w:type="dxa"/>
            <w:vAlign w:val="center"/>
          </w:tcPr>
          <w:p w14:paraId="1646EB8E" w14:textId="77777777" w:rsidR="006511ED" w:rsidRDefault="006511ED" w:rsidP="006561ED">
            <w:pPr>
              <w:jc w:val="center"/>
              <w:rPr>
                <w:rFonts w:ascii="Arial" w:hAnsi="Arial" w:cs="Arial"/>
                <w:color w:val="000000"/>
              </w:rPr>
            </w:pPr>
            <w:r w:rsidRPr="00A23BAA">
              <w:rPr>
                <w:rFonts w:ascii="Arial" w:hAnsi="Arial" w:cs="Arial"/>
                <w:color w:val="000000"/>
              </w:rPr>
              <w:t>37%</w:t>
            </w:r>
          </w:p>
          <w:p w14:paraId="4C06C38A" w14:textId="72835772" w:rsidR="00E94EAF" w:rsidRPr="00A23BAA" w:rsidRDefault="00E94EAF" w:rsidP="006561ED">
            <w:pPr>
              <w:jc w:val="center"/>
              <w:rPr>
                <w:rFonts w:ascii="Arial" w:hAnsi="Arial" w:cs="Arial"/>
                <w:lang w:val="en-US"/>
              </w:rPr>
            </w:pPr>
            <w:r>
              <w:rPr>
                <w:rFonts w:ascii="Arial" w:hAnsi="Arial" w:cs="Arial"/>
                <w:color w:val="000000"/>
              </w:rPr>
              <w:t>(Engagement learners removed from data)</w:t>
            </w:r>
          </w:p>
        </w:tc>
        <w:tc>
          <w:tcPr>
            <w:tcW w:w="2664" w:type="dxa"/>
            <w:vAlign w:val="center"/>
          </w:tcPr>
          <w:p w14:paraId="5AA62E53" w14:textId="41D9C7A2" w:rsidR="00E2097F" w:rsidRDefault="00E2097F" w:rsidP="00A23BAA">
            <w:pPr>
              <w:rPr>
                <w:rFonts w:ascii="Arial" w:hAnsi="Arial" w:cs="Arial"/>
                <w:lang w:val="en-US"/>
              </w:rPr>
            </w:pPr>
            <w:r>
              <w:rPr>
                <w:rFonts w:ascii="Arial" w:hAnsi="Arial" w:cs="Arial"/>
                <w:lang w:val="en-US"/>
              </w:rPr>
              <w:t>iASEND set progress: 5%</w:t>
            </w:r>
          </w:p>
          <w:p w14:paraId="50FD9958" w14:textId="38CAE454" w:rsidR="00A23BAA" w:rsidRPr="00A23BAA" w:rsidRDefault="00A23BAA" w:rsidP="00A23BAA">
            <w:pPr>
              <w:rPr>
                <w:rFonts w:ascii="Arial" w:hAnsi="Arial" w:cs="Arial"/>
                <w:lang w:val="en-US"/>
              </w:rPr>
            </w:pPr>
            <w:r w:rsidRPr="00A23BAA">
              <w:rPr>
                <w:rFonts w:ascii="Arial" w:hAnsi="Arial" w:cs="Arial"/>
                <w:lang w:val="en-US"/>
              </w:rPr>
              <w:t>Anticipated progress: 10%</w:t>
            </w:r>
          </w:p>
          <w:p w14:paraId="69DE3F80" w14:textId="586A11AF" w:rsidR="006511ED" w:rsidRPr="00A23BAA" w:rsidRDefault="006511ED"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13%</w:t>
            </w:r>
          </w:p>
          <w:p w14:paraId="0E3713E1" w14:textId="46F3BD7C" w:rsidR="006511ED" w:rsidRPr="00A23BAA" w:rsidRDefault="006511ED" w:rsidP="00DD47F5">
            <w:pPr>
              <w:rPr>
                <w:rFonts w:ascii="Arial" w:hAnsi="Arial" w:cs="Arial"/>
                <w:lang w:val="en-US"/>
              </w:rPr>
            </w:pPr>
            <w:r w:rsidRPr="00A23BAA">
              <w:rPr>
                <w:rFonts w:ascii="Arial" w:hAnsi="Arial" w:cs="Arial"/>
                <w:lang w:val="en-US"/>
              </w:rPr>
              <w:t>AP1:</w:t>
            </w:r>
            <w:r w:rsidR="00F15B30">
              <w:rPr>
                <w:rFonts w:ascii="Arial" w:hAnsi="Arial" w:cs="Arial"/>
                <w:lang w:val="en-US"/>
              </w:rPr>
              <w:t>8%</w:t>
            </w:r>
          </w:p>
          <w:p w14:paraId="7202544F" w14:textId="302FF3AA" w:rsidR="006511ED" w:rsidRPr="00A23BAA" w:rsidRDefault="006511ED"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20%</w:t>
            </w:r>
          </w:p>
          <w:p w14:paraId="5E695608" w14:textId="77777777" w:rsidR="006511ED" w:rsidRPr="00A23BAA" w:rsidRDefault="006511ED" w:rsidP="00DD47F5">
            <w:pPr>
              <w:rPr>
                <w:rFonts w:ascii="Arial" w:hAnsi="Arial" w:cs="Arial"/>
                <w:lang w:val="en-US"/>
              </w:rPr>
            </w:pPr>
            <w:r w:rsidRPr="00A23BAA">
              <w:rPr>
                <w:rFonts w:ascii="Arial" w:hAnsi="Arial" w:cs="Arial"/>
                <w:lang w:val="en-US"/>
              </w:rPr>
              <w:t>AP3:</w:t>
            </w:r>
          </w:p>
          <w:p w14:paraId="0A164A26" w14:textId="77777777" w:rsidR="006511ED" w:rsidRPr="00A23BAA" w:rsidRDefault="006511ED" w:rsidP="00DD47F5">
            <w:pPr>
              <w:rPr>
                <w:rFonts w:ascii="Arial" w:hAnsi="Arial" w:cs="Arial"/>
                <w:lang w:val="en-US"/>
              </w:rPr>
            </w:pPr>
            <w:r w:rsidRPr="00A23BAA">
              <w:rPr>
                <w:rFonts w:ascii="Arial" w:hAnsi="Arial" w:cs="Arial"/>
                <w:lang w:val="en-US"/>
              </w:rPr>
              <w:t>AP4:</w:t>
            </w:r>
          </w:p>
          <w:p w14:paraId="14275419" w14:textId="77777777" w:rsidR="006511ED" w:rsidRPr="00A23BAA" w:rsidRDefault="006511ED" w:rsidP="00DD47F5">
            <w:pPr>
              <w:rPr>
                <w:rFonts w:ascii="Arial" w:hAnsi="Arial" w:cs="Arial"/>
                <w:lang w:val="en-US"/>
              </w:rPr>
            </w:pPr>
            <w:r w:rsidRPr="00A23BAA">
              <w:rPr>
                <w:rFonts w:ascii="Arial" w:hAnsi="Arial" w:cs="Arial"/>
                <w:lang w:val="en-US"/>
              </w:rPr>
              <w:t>AP5:</w:t>
            </w:r>
          </w:p>
          <w:p w14:paraId="47E660C6" w14:textId="43D1F0B7" w:rsidR="006511ED" w:rsidRPr="00A23BAA" w:rsidRDefault="006511ED" w:rsidP="00DD47F5">
            <w:pPr>
              <w:rPr>
                <w:rFonts w:ascii="Arial" w:hAnsi="Arial" w:cs="Arial"/>
                <w:color w:val="000000"/>
              </w:rPr>
            </w:pPr>
            <w:r w:rsidRPr="00A23BAA">
              <w:rPr>
                <w:rFonts w:ascii="Arial" w:hAnsi="Arial" w:cs="Arial"/>
                <w:lang w:val="en-US"/>
              </w:rPr>
              <w:t>AP6:</w:t>
            </w:r>
          </w:p>
        </w:tc>
      </w:tr>
      <w:tr w:rsidR="006511ED" w:rsidRPr="00A23BAA" w14:paraId="69DE1CAE" w14:textId="6C1B5FA0" w:rsidTr="006561ED">
        <w:trPr>
          <w:trHeight w:val="772"/>
        </w:trPr>
        <w:tc>
          <w:tcPr>
            <w:tcW w:w="2293" w:type="dxa"/>
            <w:vAlign w:val="center"/>
          </w:tcPr>
          <w:p w14:paraId="106E8187" w14:textId="0816D3EC" w:rsidR="006511ED" w:rsidRPr="00A23BAA" w:rsidRDefault="006511ED" w:rsidP="00DD47F5">
            <w:pPr>
              <w:rPr>
                <w:rFonts w:ascii="Arial" w:hAnsi="Arial" w:cs="Arial"/>
                <w:lang w:val="en-US"/>
              </w:rPr>
            </w:pPr>
            <w:r w:rsidRPr="00A23BAA">
              <w:rPr>
                <w:rFonts w:ascii="Arial" w:hAnsi="Arial" w:cs="Arial"/>
                <w:lang w:val="en-US"/>
              </w:rPr>
              <w:t>Average iASEND progress – strand S</w:t>
            </w:r>
          </w:p>
        </w:tc>
        <w:tc>
          <w:tcPr>
            <w:tcW w:w="1833" w:type="dxa"/>
            <w:vAlign w:val="center"/>
          </w:tcPr>
          <w:p w14:paraId="0676C372" w14:textId="77777777" w:rsidR="006511ED" w:rsidRDefault="00E94EAF" w:rsidP="006561ED">
            <w:pPr>
              <w:jc w:val="center"/>
              <w:rPr>
                <w:rFonts w:ascii="Arial" w:hAnsi="Arial" w:cs="Arial"/>
                <w:lang w:val="en-US"/>
              </w:rPr>
            </w:pPr>
            <w:r>
              <w:rPr>
                <w:rFonts w:ascii="Arial" w:hAnsi="Arial" w:cs="Arial"/>
                <w:lang w:val="en-US"/>
              </w:rPr>
              <w:t>16%</w:t>
            </w:r>
          </w:p>
          <w:p w14:paraId="7A6BD149" w14:textId="7C65418B" w:rsidR="00E94EAF" w:rsidRPr="00A23BAA" w:rsidRDefault="00E94EAF" w:rsidP="006561ED">
            <w:pPr>
              <w:jc w:val="center"/>
              <w:rPr>
                <w:rFonts w:ascii="Arial" w:hAnsi="Arial" w:cs="Arial"/>
                <w:lang w:val="en-US"/>
              </w:rPr>
            </w:pPr>
            <w:r>
              <w:rPr>
                <w:rFonts w:ascii="Arial" w:hAnsi="Arial" w:cs="Arial"/>
                <w:lang w:val="en-US"/>
              </w:rPr>
              <w:t>(</w:t>
            </w:r>
            <w:r w:rsidR="00E2097F">
              <w:rPr>
                <w:rFonts w:ascii="Arial" w:hAnsi="Arial" w:cs="Arial"/>
                <w:lang w:val="en-US"/>
              </w:rPr>
              <w:t xml:space="preserve">After audit </w:t>
            </w:r>
            <w:r>
              <w:rPr>
                <w:rFonts w:ascii="Arial" w:hAnsi="Arial" w:cs="Arial"/>
                <w:lang w:val="en-US"/>
              </w:rPr>
              <w:t>12%)</w:t>
            </w:r>
          </w:p>
        </w:tc>
        <w:tc>
          <w:tcPr>
            <w:tcW w:w="1833" w:type="dxa"/>
            <w:vAlign w:val="center"/>
          </w:tcPr>
          <w:p w14:paraId="1548D508" w14:textId="6F71AC12" w:rsidR="006511ED" w:rsidRPr="00A23BAA" w:rsidRDefault="00DB7D70" w:rsidP="006561ED">
            <w:pPr>
              <w:jc w:val="center"/>
              <w:rPr>
                <w:rFonts w:ascii="Arial" w:hAnsi="Arial" w:cs="Arial"/>
                <w:lang w:val="en-US"/>
              </w:rPr>
            </w:pPr>
            <w:r w:rsidRPr="00A23BAA">
              <w:rPr>
                <w:rFonts w:ascii="Arial" w:hAnsi="Arial" w:cs="Arial"/>
                <w:lang w:val="en-US"/>
              </w:rPr>
              <w:t>12%</w:t>
            </w:r>
          </w:p>
        </w:tc>
        <w:tc>
          <w:tcPr>
            <w:tcW w:w="1833" w:type="dxa"/>
            <w:vAlign w:val="center"/>
          </w:tcPr>
          <w:p w14:paraId="262162F5" w14:textId="0DB556D4" w:rsidR="006511ED" w:rsidRPr="00A23BAA" w:rsidRDefault="006511ED" w:rsidP="006561ED">
            <w:pPr>
              <w:jc w:val="center"/>
              <w:rPr>
                <w:rFonts w:ascii="Arial" w:hAnsi="Arial" w:cs="Arial"/>
                <w:lang w:val="en-US"/>
              </w:rPr>
            </w:pPr>
            <w:r w:rsidRPr="00A23BAA">
              <w:rPr>
                <w:rFonts w:ascii="Arial" w:hAnsi="Arial" w:cs="Arial"/>
                <w:color w:val="000000"/>
              </w:rPr>
              <w:t>14%</w:t>
            </w:r>
          </w:p>
        </w:tc>
        <w:tc>
          <w:tcPr>
            <w:tcW w:w="2664" w:type="dxa"/>
            <w:vAlign w:val="center"/>
          </w:tcPr>
          <w:p w14:paraId="2086AA5B" w14:textId="2BF5806E" w:rsidR="00E2097F" w:rsidRDefault="00E2097F" w:rsidP="00E2097F">
            <w:pPr>
              <w:rPr>
                <w:rFonts w:ascii="Arial" w:hAnsi="Arial" w:cs="Arial"/>
                <w:lang w:val="en-US"/>
              </w:rPr>
            </w:pPr>
            <w:r>
              <w:rPr>
                <w:rFonts w:ascii="Arial" w:hAnsi="Arial" w:cs="Arial"/>
                <w:lang w:val="en-US"/>
              </w:rPr>
              <w:t>iASEND set progress: 7%</w:t>
            </w:r>
          </w:p>
          <w:p w14:paraId="6F768A62" w14:textId="77777777" w:rsidR="00A23BAA" w:rsidRPr="00A23BAA" w:rsidRDefault="00A23BAA" w:rsidP="00A23BAA">
            <w:pPr>
              <w:rPr>
                <w:rFonts w:ascii="Arial" w:hAnsi="Arial" w:cs="Arial"/>
                <w:lang w:val="en-US"/>
              </w:rPr>
            </w:pPr>
            <w:r w:rsidRPr="00A23BAA">
              <w:rPr>
                <w:rFonts w:ascii="Arial" w:hAnsi="Arial" w:cs="Arial"/>
                <w:lang w:val="en-US"/>
              </w:rPr>
              <w:t>Anticipated progress: 9%</w:t>
            </w:r>
          </w:p>
          <w:p w14:paraId="680C67B5" w14:textId="5395DCD2" w:rsidR="006511ED" w:rsidRPr="00A23BAA" w:rsidRDefault="006511ED"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12%</w:t>
            </w:r>
          </w:p>
          <w:p w14:paraId="3EF372AE" w14:textId="22D56E19" w:rsidR="006511ED" w:rsidRPr="00A23BAA" w:rsidRDefault="006511ED" w:rsidP="00DD47F5">
            <w:pPr>
              <w:rPr>
                <w:rFonts w:ascii="Arial" w:hAnsi="Arial" w:cs="Arial"/>
                <w:lang w:val="en-US"/>
              </w:rPr>
            </w:pPr>
            <w:r w:rsidRPr="00A23BAA">
              <w:rPr>
                <w:rFonts w:ascii="Arial" w:hAnsi="Arial" w:cs="Arial"/>
                <w:lang w:val="en-US"/>
              </w:rPr>
              <w:t>AP1:</w:t>
            </w:r>
            <w:r w:rsidR="00F15B30">
              <w:rPr>
                <w:rFonts w:ascii="Arial" w:hAnsi="Arial" w:cs="Arial"/>
                <w:lang w:val="en-US"/>
              </w:rPr>
              <w:t xml:space="preserve"> </w:t>
            </w:r>
            <w:r w:rsidR="004F6093">
              <w:rPr>
                <w:rFonts w:ascii="Arial" w:hAnsi="Arial" w:cs="Arial"/>
                <w:lang w:val="en-US"/>
              </w:rPr>
              <w:t>3</w:t>
            </w:r>
            <w:r w:rsidR="00F15B30">
              <w:rPr>
                <w:rFonts w:ascii="Arial" w:hAnsi="Arial" w:cs="Arial"/>
                <w:lang w:val="en-US"/>
              </w:rPr>
              <w:t>%</w:t>
            </w:r>
          </w:p>
          <w:p w14:paraId="1C835494" w14:textId="28B3A545" w:rsidR="006511ED" w:rsidRPr="00A23BAA" w:rsidRDefault="006511ED"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5%</w:t>
            </w:r>
          </w:p>
          <w:p w14:paraId="755083A9" w14:textId="77777777" w:rsidR="006511ED" w:rsidRPr="00A23BAA" w:rsidRDefault="006511ED" w:rsidP="00DD47F5">
            <w:pPr>
              <w:rPr>
                <w:rFonts w:ascii="Arial" w:hAnsi="Arial" w:cs="Arial"/>
                <w:lang w:val="en-US"/>
              </w:rPr>
            </w:pPr>
            <w:r w:rsidRPr="00A23BAA">
              <w:rPr>
                <w:rFonts w:ascii="Arial" w:hAnsi="Arial" w:cs="Arial"/>
                <w:lang w:val="en-US"/>
              </w:rPr>
              <w:t>AP3:</w:t>
            </w:r>
          </w:p>
          <w:p w14:paraId="2CD7D8B1" w14:textId="77777777" w:rsidR="006511ED" w:rsidRPr="00A23BAA" w:rsidRDefault="006511ED" w:rsidP="00DD47F5">
            <w:pPr>
              <w:rPr>
                <w:rFonts w:ascii="Arial" w:hAnsi="Arial" w:cs="Arial"/>
                <w:lang w:val="en-US"/>
              </w:rPr>
            </w:pPr>
            <w:r w:rsidRPr="00A23BAA">
              <w:rPr>
                <w:rFonts w:ascii="Arial" w:hAnsi="Arial" w:cs="Arial"/>
                <w:lang w:val="en-US"/>
              </w:rPr>
              <w:t>AP4:</w:t>
            </w:r>
          </w:p>
          <w:p w14:paraId="6FA0C029" w14:textId="77777777" w:rsidR="006511ED" w:rsidRPr="00A23BAA" w:rsidRDefault="006511ED" w:rsidP="00DD47F5">
            <w:pPr>
              <w:rPr>
                <w:rFonts w:ascii="Arial" w:hAnsi="Arial" w:cs="Arial"/>
                <w:lang w:val="en-US"/>
              </w:rPr>
            </w:pPr>
            <w:r w:rsidRPr="00A23BAA">
              <w:rPr>
                <w:rFonts w:ascii="Arial" w:hAnsi="Arial" w:cs="Arial"/>
                <w:lang w:val="en-US"/>
              </w:rPr>
              <w:t>AP5:</w:t>
            </w:r>
          </w:p>
          <w:p w14:paraId="7130613A" w14:textId="04F8D823" w:rsidR="006511ED" w:rsidRPr="00A23BAA" w:rsidRDefault="006511ED" w:rsidP="00DD47F5">
            <w:pPr>
              <w:rPr>
                <w:rFonts w:ascii="Arial" w:hAnsi="Arial" w:cs="Arial"/>
                <w:b/>
                <w:bCs/>
                <w:color w:val="000000"/>
              </w:rPr>
            </w:pPr>
            <w:r w:rsidRPr="00A23BAA">
              <w:rPr>
                <w:rFonts w:ascii="Arial" w:hAnsi="Arial" w:cs="Arial"/>
                <w:lang w:val="en-US"/>
              </w:rPr>
              <w:t>AP6:</w:t>
            </w:r>
          </w:p>
        </w:tc>
      </w:tr>
      <w:tr w:rsidR="006511ED" w:rsidRPr="00A23BAA" w14:paraId="6E4D3907" w14:textId="680EE1AF" w:rsidTr="006561ED">
        <w:trPr>
          <w:trHeight w:val="772"/>
        </w:trPr>
        <w:tc>
          <w:tcPr>
            <w:tcW w:w="2293" w:type="dxa"/>
            <w:vAlign w:val="center"/>
          </w:tcPr>
          <w:p w14:paraId="0AD0D9CF" w14:textId="07F2B741" w:rsidR="006511ED" w:rsidRPr="00A23BAA" w:rsidRDefault="006511ED" w:rsidP="00DD47F5">
            <w:pPr>
              <w:rPr>
                <w:rFonts w:ascii="Arial" w:hAnsi="Arial" w:cs="Arial"/>
                <w:lang w:val="en-US"/>
              </w:rPr>
            </w:pPr>
            <w:r w:rsidRPr="00A23BAA">
              <w:rPr>
                <w:rFonts w:ascii="Arial" w:hAnsi="Arial" w:cs="Arial"/>
                <w:lang w:val="en-US"/>
              </w:rPr>
              <w:t>Average iASEND progress – strand E and above</w:t>
            </w:r>
          </w:p>
        </w:tc>
        <w:tc>
          <w:tcPr>
            <w:tcW w:w="1833" w:type="dxa"/>
            <w:vAlign w:val="center"/>
          </w:tcPr>
          <w:p w14:paraId="094099E4" w14:textId="736B65C9" w:rsidR="006511ED" w:rsidRPr="00A23BAA" w:rsidRDefault="00E94EAF" w:rsidP="006561ED">
            <w:pPr>
              <w:jc w:val="center"/>
              <w:rPr>
                <w:rFonts w:ascii="Arial" w:hAnsi="Arial" w:cs="Arial"/>
                <w:lang w:val="en-US"/>
              </w:rPr>
            </w:pPr>
            <w:r>
              <w:rPr>
                <w:rFonts w:ascii="Arial" w:hAnsi="Arial" w:cs="Arial"/>
                <w:lang w:val="en-US"/>
              </w:rPr>
              <w:t>10%</w:t>
            </w:r>
          </w:p>
        </w:tc>
        <w:tc>
          <w:tcPr>
            <w:tcW w:w="1833" w:type="dxa"/>
            <w:vAlign w:val="center"/>
          </w:tcPr>
          <w:p w14:paraId="0E5C8271" w14:textId="5E143C1F" w:rsidR="006511ED" w:rsidRPr="00A23BAA" w:rsidRDefault="00DB7D70" w:rsidP="006561ED">
            <w:pPr>
              <w:jc w:val="center"/>
              <w:rPr>
                <w:rFonts w:ascii="Arial" w:hAnsi="Arial" w:cs="Arial"/>
                <w:lang w:val="en-US"/>
              </w:rPr>
            </w:pPr>
            <w:r w:rsidRPr="00A23BAA">
              <w:rPr>
                <w:rFonts w:ascii="Arial" w:hAnsi="Arial" w:cs="Arial"/>
                <w:lang w:val="en-US"/>
              </w:rPr>
              <w:t>11%</w:t>
            </w:r>
          </w:p>
        </w:tc>
        <w:tc>
          <w:tcPr>
            <w:tcW w:w="1833" w:type="dxa"/>
            <w:vAlign w:val="center"/>
          </w:tcPr>
          <w:p w14:paraId="0E04EEE3" w14:textId="00D0C6E8" w:rsidR="006511ED" w:rsidRPr="00A23BAA" w:rsidRDefault="006511ED" w:rsidP="006561ED">
            <w:pPr>
              <w:jc w:val="center"/>
              <w:rPr>
                <w:rFonts w:ascii="Arial" w:hAnsi="Arial" w:cs="Arial"/>
                <w:lang w:val="en-US"/>
              </w:rPr>
            </w:pPr>
            <w:r w:rsidRPr="00A23BAA">
              <w:rPr>
                <w:rFonts w:ascii="Arial" w:hAnsi="Arial" w:cs="Arial"/>
                <w:color w:val="000000"/>
              </w:rPr>
              <w:t>24%</w:t>
            </w:r>
          </w:p>
        </w:tc>
        <w:tc>
          <w:tcPr>
            <w:tcW w:w="2664" w:type="dxa"/>
            <w:vAlign w:val="center"/>
          </w:tcPr>
          <w:p w14:paraId="24E84E66" w14:textId="10376CCC" w:rsidR="00E2097F" w:rsidRDefault="00E2097F" w:rsidP="00E2097F">
            <w:pPr>
              <w:rPr>
                <w:rFonts w:ascii="Arial" w:hAnsi="Arial" w:cs="Arial"/>
                <w:lang w:val="en-US"/>
              </w:rPr>
            </w:pPr>
            <w:r>
              <w:rPr>
                <w:rFonts w:ascii="Arial" w:hAnsi="Arial" w:cs="Arial"/>
                <w:lang w:val="en-US"/>
              </w:rPr>
              <w:t>iASEND set progress: 10</w:t>
            </w:r>
            <w:r w:rsidR="00157637">
              <w:rPr>
                <w:rFonts w:ascii="Arial" w:hAnsi="Arial" w:cs="Arial"/>
                <w:lang w:val="en-US"/>
              </w:rPr>
              <w:t>+</w:t>
            </w:r>
            <w:r>
              <w:rPr>
                <w:rFonts w:ascii="Arial" w:hAnsi="Arial" w:cs="Arial"/>
                <w:lang w:val="en-US"/>
              </w:rPr>
              <w:t>%</w:t>
            </w:r>
          </w:p>
          <w:p w14:paraId="31A7B46F" w14:textId="044CBA01" w:rsidR="00A23BAA" w:rsidRPr="00A23BAA" w:rsidRDefault="00A23BAA" w:rsidP="00A23BAA">
            <w:pPr>
              <w:rPr>
                <w:rFonts w:ascii="Arial" w:hAnsi="Arial" w:cs="Arial"/>
                <w:lang w:val="en-US"/>
              </w:rPr>
            </w:pPr>
            <w:r w:rsidRPr="00A23BAA">
              <w:rPr>
                <w:rFonts w:ascii="Arial" w:hAnsi="Arial" w:cs="Arial"/>
                <w:lang w:val="en-US"/>
              </w:rPr>
              <w:t>Anticipated progress: 11%</w:t>
            </w:r>
          </w:p>
          <w:p w14:paraId="59887847" w14:textId="2DA30825" w:rsidR="006511ED" w:rsidRPr="00A23BAA" w:rsidRDefault="006511ED"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14%</w:t>
            </w:r>
          </w:p>
          <w:p w14:paraId="637B1328" w14:textId="5A6CAB2F" w:rsidR="006511ED" w:rsidRPr="00A23BAA" w:rsidRDefault="006511ED" w:rsidP="00DD47F5">
            <w:pPr>
              <w:rPr>
                <w:rFonts w:ascii="Arial" w:hAnsi="Arial" w:cs="Arial"/>
                <w:lang w:val="en-US"/>
              </w:rPr>
            </w:pPr>
            <w:r w:rsidRPr="00A23BAA">
              <w:rPr>
                <w:rFonts w:ascii="Arial" w:hAnsi="Arial" w:cs="Arial"/>
                <w:lang w:val="en-US"/>
              </w:rPr>
              <w:t>AP1:</w:t>
            </w:r>
            <w:r w:rsidR="00F15B30">
              <w:rPr>
                <w:rFonts w:ascii="Arial" w:hAnsi="Arial" w:cs="Arial"/>
                <w:lang w:val="en-US"/>
              </w:rPr>
              <w:t xml:space="preserve"> 4%</w:t>
            </w:r>
          </w:p>
          <w:p w14:paraId="039ADDCC" w14:textId="23F83D62" w:rsidR="006511ED" w:rsidRPr="00A23BAA" w:rsidRDefault="006511ED"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7%</w:t>
            </w:r>
          </w:p>
          <w:p w14:paraId="673B7CAD" w14:textId="77777777" w:rsidR="006511ED" w:rsidRPr="00A23BAA" w:rsidRDefault="006511ED" w:rsidP="00DD47F5">
            <w:pPr>
              <w:rPr>
                <w:rFonts w:ascii="Arial" w:hAnsi="Arial" w:cs="Arial"/>
                <w:lang w:val="en-US"/>
              </w:rPr>
            </w:pPr>
            <w:r w:rsidRPr="00A23BAA">
              <w:rPr>
                <w:rFonts w:ascii="Arial" w:hAnsi="Arial" w:cs="Arial"/>
                <w:lang w:val="en-US"/>
              </w:rPr>
              <w:t>AP3:</w:t>
            </w:r>
          </w:p>
          <w:p w14:paraId="702AE112" w14:textId="77777777" w:rsidR="006511ED" w:rsidRPr="00A23BAA" w:rsidRDefault="006511ED" w:rsidP="00DD47F5">
            <w:pPr>
              <w:rPr>
                <w:rFonts w:ascii="Arial" w:hAnsi="Arial" w:cs="Arial"/>
                <w:lang w:val="en-US"/>
              </w:rPr>
            </w:pPr>
            <w:r w:rsidRPr="00A23BAA">
              <w:rPr>
                <w:rFonts w:ascii="Arial" w:hAnsi="Arial" w:cs="Arial"/>
                <w:lang w:val="en-US"/>
              </w:rPr>
              <w:t>AP4:</w:t>
            </w:r>
          </w:p>
          <w:p w14:paraId="380962C8" w14:textId="77777777" w:rsidR="006511ED" w:rsidRPr="00A23BAA" w:rsidRDefault="006511ED" w:rsidP="00DD47F5">
            <w:pPr>
              <w:rPr>
                <w:rFonts w:ascii="Arial" w:hAnsi="Arial" w:cs="Arial"/>
                <w:lang w:val="en-US"/>
              </w:rPr>
            </w:pPr>
            <w:r w:rsidRPr="00A23BAA">
              <w:rPr>
                <w:rFonts w:ascii="Arial" w:hAnsi="Arial" w:cs="Arial"/>
                <w:lang w:val="en-US"/>
              </w:rPr>
              <w:t>AP5:</w:t>
            </w:r>
          </w:p>
          <w:p w14:paraId="1DF4DAE8" w14:textId="5B1F5438" w:rsidR="006511ED" w:rsidRPr="00A23BAA" w:rsidRDefault="006511ED" w:rsidP="00DD47F5">
            <w:pPr>
              <w:rPr>
                <w:rFonts w:ascii="Arial" w:hAnsi="Arial" w:cs="Arial"/>
                <w:color w:val="000000"/>
              </w:rPr>
            </w:pPr>
            <w:r w:rsidRPr="00A23BAA">
              <w:rPr>
                <w:rFonts w:ascii="Arial" w:hAnsi="Arial" w:cs="Arial"/>
                <w:lang w:val="en-US"/>
              </w:rPr>
              <w:t>AP6:</w:t>
            </w:r>
          </w:p>
        </w:tc>
      </w:tr>
    </w:tbl>
    <w:p w14:paraId="3C091C7C" w14:textId="2F8802DA" w:rsidR="00B614BB" w:rsidRPr="00A23BAA" w:rsidRDefault="00B614BB" w:rsidP="006511ED">
      <w:pPr>
        <w:rPr>
          <w:rFonts w:ascii="Arial" w:hAnsi="Arial" w:cs="Arial"/>
          <w:lang w:val="en-US"/>
        </w:rPr>
      </w:pPr>
    </w:p>
    <w:p w14:paraId="0FE228C9" w14:textId="72435459" w:rsidR="00DD47F5" w:rsidRPr="00A23BAA" w:rsidRDefault="00DD47F5" w:rsidP="006511ED">
      <w:pPr>
        <w:rPr>
          <w:rFonts w:ascii="Arial" w:hAnsi="Arial" w:cs="Arial"/>
          <w:lang w:val="en-US"/>
        </w:rPr>
      </w:pPr>
    </w:p>
    <w:p w14:paraId="1C07D66A" w14:textId="5612304D" w:rsidR="00DD47F5" w:rsidRDefault="00DD47F5" w:rsidP="006511ED">
      <w:pPr>
        <w:rPr>
          <w:rFonts w:ascii="Arial" w:hAnsi="Arial" w:cs="Arial"/>
          <w:lang w:val="en-US"/>
        </w:rPr>
      </w:pPr>
    </w:p>
    <w:p w14:paraId="12D3DC95" w14:textId="64C1F51A" w:rsidR="00A23BAA" w:rsidRDefault="00A23BAA" w:rsidP="006511ED">
      <w:pPr>
        <w:rPr>
          <w:rFonts w:ascii="Arial" w:hAnsi="Arial" w:cs="Arial"/>
          <w:lang w:val="en-US"/>
        </w:rPr>
      </w:pPr>
    </w:p>
    <w:p w14:paraId="7FE4D064" w14:textId="081B8664" w:rsidR="00A23BAA" w:rsidRDefault="00A23BAA" w:rsidP="006511ED">
      <w:pPr>
        <w:rPr>
          <w:rFonts w:ascii="Arial" w:hAnsi="Arial" w:cs="Arial"/>
          <w:lang w:val="en-US"/>
        </w:rPr>
      </w:pPr>
    </w:p>
    <w:p w14:paraId="22FF59C3" w14:textId="3923407E" w:rsidR="00A23BAA" w:rsidRDefault="00A23BAA" w:rsidP="006511ED">
      <w:pPr>
        <w:rPr>
          <w:rFonts w:ascii="Arial" w:hAnsi="Arial" w:cs="Arial"/>
          <w:lang w:val="en-US"/>
        </w:rPr>
      </w:pPr>
    </w:p>
    <w:p w14:paraId="186DF386" w14:textId="4D2415AC" w:rsidR="00A23BAA" w:rsidRDefault="00A23BAA" w:rsidP="006511ED">
      <w:pPr>
        <w:rPr>
          <w:rFonts w:ascii="Arial" w:hAnsi="Arial" w:cs="Arial"/>
          <w:lang w:val="en-US"/>
        </w:rPr>
      </w:pPr>
    </w:p>
    <w:p w14:paraId="7C6057F3" w14:textId="171AF7C5" w:rsidR="00A23BAA" w:rsidRDefault="00A23BAA" w:rsidP="006511ED">
      <w:pPr>
        <w:rPr>
          <w:rFonts w:ascii="Arial" w:hAnsi="Arial" w:cs="Arial"/>
          <w:lang w:val="en-US"/>
        </w:rPr>
      </w:pPr>
    </w:p>
    <w:tbl>
      <w:tblPr>
        <w:tblStyle w:val="TableGrid"/>
        <w:tblW w:w="0" w:type="auto"/>
        <w:tblLook w:val="04A0" w:firstRow="1" w:lastRow="0" w:firstColumn="1" w:lastColumn="0" w:noHBand="0" w:noVBand="1"/>
      </w:tblPr>
      <w:tblGrid>
        <w:gridCol w:w="2367"/>
        <w:gridCol w:w="1808"/>
        <w:gridCol w:w="1808"/>
        <w:gridCol w:w="1809"/>
        <w:gridCol w:w="2664"/>
      </w:tblGrid>
      <w:tr w:rsidR="00E20FE2" w:rsidRPr="00A23BAA" w14:paraId="6BDB4289" w14:textId="77777777" w:rsidTr="006561ED">
        <w:trPr>
          <w:trHeight w:val="254"/>
        </w:trPr>
        <w:tc>
          <w:tcPr>
            <w:tcW w:w="2367" w:type="dxa"/>
          </w:tcPr>
          <w:p w14:paraId="14ED98A1" w14:textId="77777777" w:rsidR="00E20FE2" w:rsidRPr="00A23BAA" w:rsidRDefault="00E20FE2" w:rsidP="00DD47F5">
            <w:pPr>
              <w:jc w:val="center"/>
              <w:rPr>
                <w:rFonts w:ascii="Arial" w:hAnsi="Arial" w:cs="Arial"/>
                <w:b/>
                <w:bCs/>
                <w:lang w:val="en-US"/>
              </w:rPr>
            </w:pPr>
            <w:r w:rsidRPr="00A23BAA">
              <w:rPr>
                <w:rFonts w:ascii="Arial" w:hAnsi="Arial" w:cs="Arial"/>
                <w:b/>
                <w:bCs/>
                <w:lang w:val="en-US"/>
              </w:rPr>
              <w:t>Year</w:t>
            </w:r>
          </w:p>
        </w:tc>
        <w:tc>
          <w:tcPr>
            <w:tcW w:w="1808" w:type="dxa"/>
          </w:tcPr>
          <w:p w14:paraId="7A050D9C" w14:textId="77777777" w:rsidR="00E20FE2" w:rsidRPr="00A23BAA" w:rsidRDefault="00E20FE2" w:rsidP="00DD47F5">
            <w:pPr>
              <w:jc w:val="center"/>
              <w:rPr>
                <w:rFonts w:ascii="Arial" w:hAnsi="Arial" w:cs="Arial"/>
                <w:b/>
                <w:bCs/>
                <w:lang w:val="en-US"/>
              </w:rPr>
            </w:pPr>
            <w:r w:rsidRPr="00A23BAA">
              <w:rPr>
                <w:rFonts w:ascii="Arial" w:hAnsi="Arial" w:cs="Arial"/>
                <w:b/>
                <w:bCs/>
                <w:lang w:val="en-US"/>
              </w:rPr>
              <w:t>19-20</w:t>
            </w:r>
          </w:p>
        </w:tc>
        <w:tc>
          <w:tcPr>
            <w:tcW w:w="1808" w:type="dxa"/>
          </w:tcPr>
          <w:p w14:paraId="2EE81D0F" w14:textId="77777777" w:rsidR="00E20FE2" w:rsidRPr="00A23BAA" w:rsidRDefault="00E20FE2" w:rsidP="00DD47F5">
            <w:pPr>
              <w:jc w:val="center"/>
              <w:rPr>
                <w:rFonts w:ascii="Arial" w:hAnsi="Arial" w:cs="Arial"/>
                <w:b/>
                <w:bCs/>
                <w:lang w:val="en-US"/>
              </w:rPr>
            </w:pPr>
            <w:r w:rsidRPr="00A23BAA">
              <w:rPr>
                <w:rFonts w:ascii="Arial" w:hAnsi="Arial" w:cs="Arial"/>
                <w:b/>
                <w:bCs/>
                <w:lang w:val="en-US"/>
              </w:rPr>
              <w:t>20-21</w:t>
            </w:r>
          </w:p>
        </w:tc>
        <w:tc>
          <w:tcPr>
            <w:tcW w:w="1809" w:type="dxa"/>
          </w:tcPr>
          <w:p w14:paraId="19AFA297" w14:textId="77777777" w:rsidR="00E20FE2" w:rsidRPr="00A23BAA" w:rsidRDefault="00E20FE2" w:rsidP="00DD47F5">
            <w:pPr>
              <w:jc w:val="center"/>
              <w:rPr>
                <w:rFonts w:ascii="Arial" w:hAnsi="Arial" w:cs="Arial"/>
                <w:b/>
                <w:bCs/>
                <w:lang w:val="en-US"/>
              </w:rPr>
            </w:pPr>
            <w:r w:rsidRPr="00A23BAA">
              <w:rPr>
                <w:rFonts w:ascii="Arial" w:hAnsi="Arial" w:cs="Arial"/>
                <w:b/>
                <w:bCs/>
                <w:lang w:val="en-US"/>
              </w:rPr>
              <w:t>21-22</w:t>
            </w:r>
          </w:p>
        </w:tc>
        <w:tc>
          <w:tcPr>
            <w:tcW w:w="2664" w:type="dxa"/>
          </w:tcPr>
          <w:p w14:paraId="01FD420B" w14:textId="77777777" w:rsidR="00E20FE2" w:rsidRPr="00A23BAA" w:rsidRDefault="00E20FE2" w:rsidP="00DD47F5">
            <w:pPr>
              <w:jc w:val="center"/>
              <w:rPr>
                <w:rFonts w:ascii="Arial" w:hAnsi="Arial" w:cs="Arial"/>
                <w:b/>
                <w:bCs/>
                <w:lang w:val="en-US"/>
              </w:rPr>
            </w:pPr>
            <w:r w:rsidRPr="00A23BAA">
              <w:rPr>
                <w:rFonts w:ascii="Arial" w:hAnsi="Arial" w:cs="Arial"/>
                <w:b/>
                <w:bCs/>
                <w:lang w:val="en-US"/>
              </w:rPr>
              <w:t>22-23</w:t>
            </w:r>
          </w:p>
        </w:tc>
      </w:tr>
      <w:tr w:rsidR="00E20FE2" w:rsidRPr="00A23BAA" w14:paraId="560D29A6" w14:textId="77777777" w:rsidTr="006561ED">
        <w:trPr>
          <w:trHeight w:val="774"/>
        </w:trPr>
        <w:tc>
          <w:tcPr>
            <w:tcW w:w="2367" w:type="dxa"/>
            <w:vAlign w:val="center"/>
          </w:tcPr>
          <w:p w14:paraId="559477DC" w14:textId="4E17B653" w:rsidR="00E20FE2" w:rsidRPr="00A23BAA" w:rsidRDefault="00E20FE2" w:rsidP="00DD47F5">
            <w:pPr>
              <w:rPr>
                <w:rFonts w:ascii="Arial" w:hAnsi="Arial" w:cs="Arial"/>
                <w:lang w:val="en-US"/>
              </w:rPr>
            </w:pPr>
            <w:r w:rsidRPr="00A23BAA">
              <w:rPr>
                <w:rFonts w:ascii="Arial" w:hAnsi="Arial" w:cs="Arial"/>
                <w:lang w:val="en-US"/>
              </w:rPr>
              <w:t>Average iASEND progress – English</w:t>
            </w:r>
          </w:p>
        </w:tc>
        <w:tc>
          <w:tcPr>
            <w:tcW w:w="1808" w:type="dxa"/>
            <w:vAlign w:val="center"/>
          </w:tcPr>
          <w:p w14:paraId="09F33E5D" w14:textId="77777777" w:rsidR="00E20FE2" w:rsidRDefault="00E94EAF" w:rsidP="006561ED">
            <w:pPr>
              <w:jc w:val="center"/>
              <w:rPr>
                <w:rFonts w:ascii="Arial" w:hAnsi="Arial" w:cs="Arial"/>
                <w:lang w:val="en-US"/>
              </w:rPr>
            </w:pPr>
            <w:r>
              <w:rPr>
                <w:rFonts w:ascii="Arial" w:hAnsi="Arial" w:cs="Arial"/>
                <w:lang w:val="en-US"/>
              </w:rPr>
              <w:t>13%</w:t>
            </w:r>
          </w:p>
          <w:p w14:paraId="3BC707AB" w14:textId="44F326E8" w:rsidR="00E94EAF" w:rsidRPr="00A23BAA" w:rsidRDefault="00E94EAF" w:rsidP="006561ED">
            <w:pPr>
              <w:jc w:val="center"/>
              <w:rPr>
                <w:rFonts w:ascii="Arial" w:hAnsi="Arial" w:cs="Arial"/>
                <w:lang w:val="en-US"/>
              </w:rPr>
            </w:pPr>
            <w:r>
              <w:rPr>
                <w:rFonts w:ascii="Arial" w:hAnsi="Arial" w:cs="Arial"/>
                <w:lang w:val="en-US"/>
              </w:rPr>
              <w:t>(</w:t>
            </w:r>
            <w:r w:rsidR="00E2097F">
              <w:rPr>
                <w:rFonts w:ascii="Arial" w:hAnsi="Arial" w:cs="Arial"/>
                <w:lang w:val="en-US"/>
              </w:rPr>
              <w:t>After audit</w:t>
            </w:r>
            <w:r>
              <w:rPr>
                <w:rFonts w:ascii="Arial" w:hAnsi="Arial" w:cs="Arial"/>
                <w:lang w:val="en-US"/>
              </w:rPr>
              <w:t xml:space="preserve"> 11%)</w:t>
            </w:r>
          </w:p>
        </w:tc>
        <w:tc>
          <w:tcPr>
            <w:tcW w:w="1808" w:type="dxa"/>
            <w:vAlign w:val="center"/>
          </w:tcPr>
          <w:p w14:paraId="5D7DEF4E" w14:textId="625443C3" w:rsidR="00E20FE2" w:rsidRPr="00A23BAA" w:rsidRDefault="00EC292D" w:rsidP="006561ED">
            <w:pPr>
              <w:jc w:val="center"/>
              <w:rPr>
                <w:rFonts w:ascii="Arial" w:hAnsi="Arial" w:cs="Arial"/>
                <w:lang w:val="en-US"/>
              </w:rPr>
            </w:pPr>
            <w:r w:rsidRPr="00A23BAA">
              <w:rPr>
                <w:rFonts w:ascii="Arial" w:hAnsi="Arial" w:cs="Arial"/>
                <w:lang w:val="en-US"/>
              </w:rPr>
              <w:t>12%</w:t>
            </w:r>
          </w:p>
        </w:tc>
        <w:tc>
          <w:tcPr>
            <w:tcW w:w="1809" w:type="dxa"/>
            <w:vAlign w:val="center"/>
          </w:tcPr>
          <w:p w14:paraId="4352686A" w14:textId="07D5F18F" w:rsidR="00E20FE2" w:rsidRPr="00A23BAA" w:rsidRDefault="00E20FE2" w:rsidP="006561ED">
            <w:pPr>
              <w:jc w:val="center"/>
              <w:rPr>
                <w:rFonts w:ascii="Arial" w:hAnsi="Arial" w:cs="Arial"/>
                <w:lang w:val="en-US"/>
              </w:rPr>
            </w:pPr>
            <w:r w:rsidRPr="00A23BAA">
              <w:rPr>
                <w:rFonts w:ascii="Arial" w:hAnsi="Arial" w:cs="Arial"/>
                <w:lang w:val="en-US"/>
              </w:rPr>
              <w:t>19%</w:t>
            </w:r>
          </w:p>
        </w:tc>
        <w:tc>
          <w:tcPr>
            <w:tcW w:w="2664" w:type="dxa"/>
            <w:vAlign w:val="center"/>
          </w:tcPr>
          <w:p w14:paraId="41890337" w14:textId="77777777" w:rsidR="00A23BAA" w:rsidRPr="00A23BAA" w:rsidRDefault="00A23BAA" w:rsidP="00A23BAA">
            <w:pPr>
              <w:rPr>
                <w:rFonts w:ascii="Arial" w:hAnsi="Arial" w:cs="Arial"/>
                <w:lang w:val="en-US"/>
              </w:rPr>
            </w:pPr>
            <w:r w:rsidRPr="00A23BAA">
              <w:rPr>
                <w:rFonts w:ascii="Arial" w:hAnsi="Arial" w:cs="Arial"/>
                <w:lang w:val="en-US"/>
              </w:rPr>
              <w:t>Anticipated progress: 9%</w:t>
            </w:r>
          </w:p>
          <w:p w14:paraId="4B7C859F" w14:textId="43898C09" w:rsidR="00E20FE2" w:rsidRPr="00A23BAA" w:rsidRDefault="00E20FE2"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12%</w:t>
            </w:r>
          </w:p>
          <w:p w14:paraId="031EF9CF" w14:textId="6323B5D4" w:rsidR="00E20FE2" w:rsidRPr="00A23BAA" w:rsidRDefault="00E20FE2" w:rsidP="00DD47F5">
            <w:pPr>
              <w:rPr>
                <w:rFonts w:ascii="Arial" w:hAnsi="Arial" w:cs="Arial"/>
                <w:lang w:val="en-US"/>
              </w:rPr>
            </w:pPr>
            <w:r w:rsidRPr="00A23BAA">
              <w:rPr>
                <w:rFonts w:ascii="Arial" w:hAnsi="Arial" w:cs="Arial"/>
                <w:lang w:val="en-US"/>
              </w:rPr>
              <w:t>AP1:</w:t>
            </w:r>
            <w:r w:rsidR="00F15B30">
              <w:rPr>
                <w:rFonts w:ascii="Arial" w:hAnsi="Arial" w:cs="Arial"/>
                <w:lang w:val="en-US"/>
              </w:rPr>
              <w:t xml:space="preserve"> </w:t>
            </w:r>
            <w:r w:rsidR="004F6093">
              <w:rPr>
                <w:rFonts w:ascii="Arial" w:hAnsi="Arial" w:cs="Arial"/>
                <w:lang w:val="en-US"/>
              </w:rPr>
              <w:t>4</w:t>
            </w:r>
            <w:r w:rsidR="00F15B30">
              <w:rPr>
                <w:rFonts w:ascii="Arial" w:hAnsi="Arial" w:cs="Arial"/>
                <w:lang w:val="en-US"/>
              </w:rPr>
              <w:t>%</w:t>
            </w:r>
          </w:p>
          <w:p w14:paraId="566233E5" w14:textId="6A7488B9" w:rsidR="00E20FE2" w:rsidRPr="00A23BAA" w:rsidRDefault="00E20FE2"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8%</w:t>
            </w:r>
          </w:p>
          <w:p w14:paraId="106DACCB" w14:textId="77777777" w:rsidR="00E20FE2" w:rsidRPr="00A23BAA" w:rsidRDefault="00E20FE2" w:rsidP="00DD47F5">
            <w:pPr>
              <w:rPr>
                <w:rFonts w:ascii="Arial" w:hAnsi="Arial" w:cs="Arial"/>
                <w:lang w:val="en-US"/>
              </w:rPr>
            </w:pPr>
            <w:r w:rsidRPr="00A23BAA">
              <w:rPr>
                <w:rFonts w:ascii="Arial" w:hAnsi="Arial" w:cs="Arial"/>
                <w:lang w:val="en-US"/>
              </w:rPr>
              <w:t>AP3:</w:t>
            </w:r>
          </w:p>
          <w:p w14:paraId="5A8A8EA2" w14:textId="77777777" w:rsidR="00E20FE2" w:rsidRPr="00A23BAA" w:rsidRDefault="00E20FE2" w:rsidP="00DD47F5">
            <w:pPr>
              <w:rPr>
                <w:rFonts w:ascii="Arial" w:hAnsi="Arial" w:cs="Arial"/>
                <w:lang w:val="en-US"/>
              </w:rPr>
            </w:pPr>
            <w:r w:rsidRPr="00A23BAA">
              <w:rPr>
                <w:rFonts w:ascii="Arial" w:hAnsi="Arial" w:cs="Arial"/>
                <w:lang w:val="en-US"/>
              </w:rPr>
              <w:t>AP4:</w:t>
            </w:r>
          </w:p>
          <w:p w14:paraId="108EC11C" w14:textId="77777777" w:rsidR="00E20FE2" w:rsidRPr="00A23BAA" w:rsidRDefault="00E20FE2" w:rsidP="00DD47F5">
            <w:pPr>
              <w:rPr>
                <w:rFonts w:ascii="Arial" w:hAnsi="Arial" w:cs="Arial"/>
                <w:lang w:val="en-US"/>
              </w:rPr>
            </w:pPr>
            <w:r w:rsidRPr="00A23BAA">
              <w:rPr>
                <w:rFonts w:ascii="Arial" w:hAnsi="Arial" w:cs="Arial"/>
                <w:lang w:val="en-US"/>
              </w:rPr>
              <w:t>AP5:</w:t>
            </w:r>
          </w:p>
          <w:p w14:paraId="4F9303FF" w14:textId="77777777" w:rsidR="00E20FE2" w:rsidRPr="00A23BAA" w:rsidRDefault="00E20FE2" w:rsidP="00DD47F5">
            <w:pPr>
              <w:rPr>
                <w:rFonts w:ascii="Arial" w:hAnsi="Arial" w:cs="Arial"/>
                <w:color w:val="000000"/>
              </w:rPr>
            </w:pPr>
            <w:r w:rsidRPr="00A23BAA">
              <w:rPr>
                <w:rFonts w:ascii="Arial" w:hAnsi="Arial" w:cs="Arial"/>
                <w:lang w:val="en-US"/>
              </w:rPr>
              <w:t>AP6:</w:t>
            </w:r>
          </w:p>
        </w:tc>
      </w:tr>
      <w:tr w:rsidR="00E20FE2" w:rsidRPr="00A23BAA" w14:paraId="44872432" w14:textId="77777777" w:rsidTr="006561ED">
        <w:trPr>
          <w:trHeight w:val="774"/>
        </w:trPr>
        <w:tc>
          <w:tcPr>
            <w:tcW w:w="2367" w:type="dxa"/>
            <w:vAlign w:val="center"/>
          </w:tcPr>
          <w:p w14:paraId="5203A13E" w14:textId="73835127" w:rsidR="00E20FE2" w:rsidRPr="00A23BAA" w:rsidRDefault="00E20FE2" w:rsidP="00DD47F5">
            <w:pPr>
              <w:rPr>
                <w:rFonts w:ascii="Arial" w:hAnsi="Arial" w:cs="Arial"/>
                <w:lang w:val="en-US"/>
              </w:rPr>
            </w:pPr>
            <w:r w:rsidRPr="00A23BAA">
              <w:rPr>
                <w:rFonts w:ascii="Arial" w:hAnsi="Arial" w:cs="Arial"/>
                <w:lang w:val="en-US"/>
              </w:rPr>
              <w:t>Average iASEND progress – Maths</w:t>
            </w:r>
          </w:p>
        </w:tc>
        <w:tc>
          <w:tcPr>
            <w:tcW w:w="1808" w:type="dxa"/>
            <w:vAlign w:val="center"/>
          </w:tcPr>
          <w:p w14:paraId="15C563CE" w14:textId="77777777" w:rsidR="00E20FE2" w:rsidRDefault="00E94EAF" w:rsidP="006561ED">
            <w:pPr>
              <w:jc w:val="center"/>
              <w:rPr>
                <w:rFonts w:ascii="Arial" w:hAnsi="Arial" w:cs="Arial"/>
                <w:lang w:val="en-US"/>
              </w:rPr>
            </w:pPr>
            <w:r>
              <w:rPr>
                <w:rFonts w:ascii="Arial" w:hAnsi="Arial" w:cs="Arial"/>
                <w:lang w:val="en-US"/>
              </w:rPr>
              <w:t>12%</w:t>
            </w:r>
          </w:p>
          <w:p w14:paraId="704D9C7D" w14:textId="0AA47153" w:rsidR="00E94EAF" w:rsidRPr="00A23BAA" w:rsidRDefault="00E94EAF" w:rsidP="006561ED">
            <w:pPr>
              <w:jc w:val="center"/>
              <w:rPr>
                <w:rFonts w:ascii="Arial" w:hAnsi="Arial" w:cs="Arial"/>
                <w:lang w:val="en-US"/>
              </w:rPr>
            </w:pPr>
            <w:r>
              <w:rPr>
                <w:rFonts w:ascii="Arial" w:hAnsi="Arial" w:cs="Arial"/>
                <w:lang w:val="en-US"/>
              </w:rPr>
              <w:t>(</w:t>
            </w:r>
            <w:r w:rsidR="00E2097F">
              <w:rPr>
                <w:rFonts w:ascii="Arial" w:hAnsi="Arial" w:cs="Arial"/>
                <w:lang w:val="en-US"/>
              </w:rPr>
              <w:t xml:space="preserve">After audit </w:t>
            </w:r>
            <w:r>
              <w:rPr>
                <w:rFonts w:ascii="Arial" w:hAnsi="Arial" w:cs="Arial"/>
                <w:lang w:val="en-US"/>
              </w:rPr>
              <w:t>9%)</w:t>
            </w:r>
          </w:p>
        </w:tc>
        <w:tc>
          <w:tcPr>
            <w:tcW w:w="1808" w:type="dxa"/>
            <w:vAlign w:val="center"/>
          </w:tcPr>
          <w:p w14:paraId="6C7966DC" w14:textId="22B3AF2E" w:rsidR="00E20FE2" w:rsidRPr="00A23BAA" w:rsidRDefault="00EC292D" w:rsidP="006561ED">
            <w:pPr>
              <w:jc w:val="center"/>
              <w:rPr>
                <w:rFonts w:ascii="Arial" w:hAnsi="Arial" w:cs="Arial"/>
                <w:lang w:val="en-US"/>
              </w:rPr>
            </w:pPr>
            <w:r w:rsidRPr="00A23BAA">
              <w:rPr>
                <w:rFonts w:ascii="Arial" w:hAnsi="Arial" w:cs="Arial"/>
                <w:lang w:val="en-US"/>
              </w:rPr>
              <w:t>11%</w:t>
            </w:r>
          </w:p>
        </w:tc>
        <w:tc>
          <w:tcPr>
            <w:tcW w:w="1809" w:type="dxa"/>
            <w:vAlign w:val="center"/>
          </w:tcPr>
          <w:p w14:paraId="086C0514" w14:textId="12FE6926" w:rsidR="00E20FE2" w:rsidRPr="00A23BAA" w:rsidRDefault="00E20FE2" w:rsidP="006561ED">
            <w:pPr>
              <w:jc w:val="center"/>
              <w:rPr>
                <w:rFonts w:ascii="Arial" w:hAnsi="Arial" w:cs="Arial"/>
                <w:lang w:val="en-US"/>
              </w:rPr>
            </w:pPr>
            <w:r w:rsidRPr="00A23BAA">
              <w:rPr>
                <w:rFonts w:ascii="Arial" w:hAnsi="Arial" w:cs="Arial"/>
                <w:lang w:val="en-US"/>
              </w:rPr>
              <w:t>18%</w:t>
            </w:r>
          </w:p>
        </w:tc>
        <w:tc>
          <w:tcPr>
            <w:tcW w:w="2664" w:type="dxa"/>
            <w:vAlign w:val="center"/>
          </w:tcPr>
          <w:p w14:paraId="404D30EB" w14:textId="77777777" w:rsidR="00A23BAA" w:rsidRPr="00A23BAA" w:rsidRDefault="00A23BAA" w:rsidP="00A23BAA">
            <w:pPr>
              <w:rPr>
                <w:rFonts w:ascii="Arial" w:hAnsi="Arial" w:cs="Arial"/>
                <w:lang w:val="en-US"/>
              </w:rPr>
            </w:pPr>
            <w:r w:rsidRPr="00A23BAA">
              <w:rPr>
                <w:rFonts w:ascii="Arial" w:hAnsi="Arial" w:cs="Arial"/>
                <w:lang w:val="en-US"/>
              </w:rPr>
              <w:t>Anticipated progress: 9%</w:t>
            </w:r>
          </w:p>
          <w:p w14:paraId="330B8D2F" w14:textId="7428C296" w:rsidR="00E20FE2" w:rsidRPr="00A23BAA" w:rsidRDefault="00E20FE2"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12%</w:t>
            </w:r>
          </w:p>
          <w:p w14:paraId="5D341166" w14:textId="76AD9B69" w:rsidR="00E20FE2" w:rsidRPr="00A23BAA" w:rsidRDefault="00E20FE2" w:rsidP="00F15B30">
            <w:pPr>
              <w:tabs>
                <w:tab w:val="left" w:pos="1312"/>
              </w:tabs>
              <w:rPr>
                <w:rFonts w:ascii="Arial" w:hAnsi="Arial" w:cs="Arial"/>
                <w:lang w:val="en-US"/>
              </w:rPr>
            </w:pPr>
            <w:r w:rsidRPr="00A23BAA">
              <w:rPr>
                <w:rFonts w:ascii="Arial" w:hAnsi="Arial" w:cs="Arial"/>
                <w:lang w:val="en-US"/>
              </w:rPr>
              <w:t>AP1:</w:t>
            </w:r>
            <w:r w:rsidR="00F15B30">
              <w:rPr>
                <w:rFonts w:ascii="Arial" w:hAnsi="Arial" w:cs="Arial"/>
                <w:lang w:val="en-US"/>
              </w:rPr>
              <w:t xml:space="preserve"> 3%</w:t>
            </w:r>
          </w:p>
          <w:p w14:paraId="318C6147" w14:textId="39967E46" w:rsidR="00E20FE2" w:rsidRPr="00A23BAA" w:rsidRDefault="00E20FE2"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7%</w:t>
            </w:r>
          </w:p>
          <w:p w14:paraId="717CB7DB" w14:textId="77777777" w:rsidR="00E20FE2" w:rsidRPr="00A23BAA" w:rsidRDefault="00E20FE2" w:rsidP="00DD47F5">
            <w:pPr>
              <w:rPr>
                <w:rFonts w:ascii="Arial" w:hAnsi="Arial" w:cs="Arial"/>
                <w:lang w:val="en-US"/>
              </w:rPr>
            </w:pPr>
            <w:r w:rsidRPr="00A23BAA">
              <w:rPr>
                <w:rFonts w:ascii="Arial" w:hAnsi="Arial" w:cs="Arial"/>
                <w:lang w:val="en-US"/>
              </w:rPr>
              <w:t>AP3:</w:t>
            </w:r>
          </w:p>
          <w:p w14:paraId="58A64F4F" w14:textId="77777777" w:rsidR="00E20FE2" w:rsidRPr="00A23BAA" w:rsidRDefault="00E20FE2" w:rsidP="00DD47F5">
            <w:pPr>
              <w:rPr>
                <w:rFonts w:ascii="Arial" w:hAnsi="Arial" w:cs="Arial"/>
                <w:lang w:val="en-US"/>
              </w:rPr>
            </w:pPr>
            <w:r w:rsidRPr="00A23BAA">
              <w:rPr>
                <w:rFonts w:ascii="Arial" w:hAnsi="Arial" w:cs="Arial"/>
                <w:lang w:val="en-US"/>
              </w:rPr>
              <w:t>AP4:</w:t>
            </w:r>
          </w:p>
          <w:p w14:paraId="7F3D6230" w14:textId="77777777" w:rsidR="00E20FE2" w:rsidRPr="00A23BAA" w:rsidRDefault="00E20FE2" w:rsidP="00DD47F5">
            <w:pPr>
              <w:rPr>
                <w:rFonts w:ascii="Arial" w:hAnsi="Arial" w:cs="Arial"/>
                <w:lang w:val="en-US"/>
              </w:rPr>
            </w:pPr>
            <w:r w:rsidRPr="00A23BAA">
              <w:rPr>
                <w:rFonts w:ascii="Arial" w:hAnsi="Arial" w:cs="Arial"/>
                <w:lang w:val="en-US"/>
              </w:rPr>
              <w:t>AP5:</w:t>
            </w:r>
          </w:p>
          <w:p w14:paraId="70ECB921" w14:textId="77777777" w:rsidR="00E20FE2" w:rsidRPr="00A23BAA" w:rsidRDefault="00E20FE2" w:rsidP="00DD47F5">
            <w:pPr>
              <w:rPr>
                <w:rFonts w:ascii="Arial" w:hAnsi="Arial" w:cs="Arial"/>
                <w:b/>
                <w:bCs/>
                <w:color w:val="000000"/>
              </w:rPr>
            </w:pPr>
            <w:r w:rsidRPr="00A23BAA">
              <w:rPr>
                <w:rFonts w:ascii="Arial" w:hAnsi="Arial" w:cs="Arial"/>
                <w:lang w:val="en-US"/>
              </w:rPr>
              <w:t>AP6:</w:t>
            </w:r>
          </w:p>
        </w:tc>
      </w:tr>
      <w:tr w:rsidR="00E20FE2" w:rsidRPr="00A23BAA" w14:paraId="4665F115" w14:textId="77777777" w:rsidTr="006561ED">
        <w:trPr>
          <w:trHeight w:val="774"/>
        </w:trPr>
        <w:tc>
          <w:tcPr>
            <w:tcW w:w="2367" w:type="dxa"/>
            <w:vAlign w:val="center"/>
          </w:tcPr>
          <w:p w14:paraId="0F8459B9" w14:textId="7773569C" w:rsidR="00E20FE2" w:rsidRPr="00A23BAA" w:rsidRDefault="00E20FE2" w:rsidP="00DD47F5">
            <w:pPr>
              <w:rPr>
                <w:rFonts w:ascii="Arial" w:hAnsi="Arial" w:cs="Arial"/>
                <w:lang w:val="en-US"/>
              </w:rPr>
            </w:pPr>
            <w:r w:rsidRPr="00A23BAA">
              <w:rPr>
                <w:rFonts w:ascii="Arial" w:hAnsi="Arial" w:cs="Arial"/>
                <w:lang w:val="en-US"/>
              </w:rPr>
              <w:t>Average iASEND progress – Science</w:t>
            </w:r>
          </w:p>
        </w:tc>
        <w:tc>
          <w:tcPr>
            <w:tcW w:w="1808" w:type="dxa"/>
            <w:vAlign w:val="center"/>
          </w:tcPr>
          <w:p w14:paraId="1A41387D" w14:textId="77777777" w:rsidR="00E20FE2" w:rsidRDefault="00E94EAF" w:rsidP="006561ED">
            <w:pPr>
              <w:jc w:val="center"/>
              <w:rPr>
                <w:rFonts w:ascii="Arial" w:hAnsi="Arial" w:cs="Arial"/>
                <w:lang w:val="en-US"/>
              </w:rPr>
            </w:pPr>
            <w:r>
              <w:rPr>
                <w:rFonts w:ascii="Arial" w:hAnsi="Arial" w:cs="Arial"/>
                <w:lang w:val="en-US"/>
              </w:rPr>
              <w:t>14%</w:t>
            </w:r>
          </w:p>
          <w:p w14:paraId="6372D397" w14:textId="405E5E06" w:rsidR="00E94EAF" w:rsidRPr="00A23BAA" w:rsidRDefault="00E94EAF" w:rsidP="006561ED">
            <w:pPr>
              <w:jc w:val="center"/>
              <w:rPr>
                <w:rFonts w:ascii="Arial" w:hAnsi="Arial" w:cs="Arial"/>
                <w:lang w:val="en-US"/>
              </w:rPr>
            </w:pPr>
            <w:r>
              <w:rPr>
                <w:rFonts w:ascii="Arial" w:hAnsi="Arial" w:cs="Arial"/>
                <w:lang w:val="en-US"/>
              </w:rPr>
              <w:t>(</w:t>
            </w:r>
            <w:r w:rsidR="00E2097F">
              <w:rPr>
                <w:rFonts w:ascii="Arial" w:hAnsi="Arial" w:cs="Arial"/>
                <w:lang w:val="en-US"/>
              </w:rPr>
              <w:t xml:space="preserve">After audit </w:t>
            </w:r>
            <w:r>
              <w:rPr>
                <w:rFonts w:ascii="Arial" w:hAnsi="Arial" w:cs="Arial"/>
                <w:lang w:val="en-US"/>
              </w:rPr>
              <w:t>9%)</w:t>
            </w:r>
          </w:p>
        </w:tc>
        <w:tc>
          <w:tcPr>
            <w:tcW w:w="1808" w:type="dxa"/>
            <w:vAlign w:val="center"/>
          </w:tcPr>
          <w:p w14:paraId="472C2956" w14:textId="4203B140" w:rsidR="00E20FE2" w:rsidRPr="00A23BAA" w:rsidRDefault="00EC292D" w:rsidP="006561ED">
            <w:pPr>
              <w:jc w:val="center"/>
              <w:rPr>
                <w:rFonts w:ascii="Arial" w:hAnsi="Arial" w:cs="Arial"/>
                <w:lang w:val="en-US"/>
              </w:rPr>
            </w:pPr>
            <w:r w:rsidRPr="00A23BAA">
              <w:rPr>
                <w:rFonts w:ascii="Arial" w:hAnsi="Arial" w:cs="Arial"/>
                <w:lang w:val="en-US"/>
              </w:rPr>
              <w:t>9%</w:t>
            </w:r>
          </w:p>
        </w:tc>
        <w:tc>
          <w:tcPr>
            <w:tcW w:w="1809" w:type="dxa"/>
            <w:vAlign w:val="center"/>
          </w:tcPr>
          <w:p w14:paraId="043AAE26" w14:textId="2AEDC2B2" w:rsidR="00E20FE2" w:rsidRPr="00A23BAA" w:rsidRDefault="00E20FE2" w:rsidP="006561ED">
            <w:pPr>
              <w:jc w:val="center"/>
              <w:rPr>
                <w:rFonts w:ascii="Arial" w:hAnsi="Arial" w:cs="Arial"/>
                <w:lang w:val="en-US"/>
              </w:rPr>
            </w:pPr>
            <w:r w:rsidRPr="00A23BAA">
              <w:rPr>
                <w:rFonts w:ascii="Arial" w:hAnsi="Arial" w:cs="Arial"/>
                <w:lang w:val="en-US"/>
              </w:rPr>
              <w:t>16%</w:t>
            </w:r>
          </w:p>
        </w:tc>
        <w:tc>
          <w:tcPr>
            <w:tcW w:w="2664" w:type="dxa"/>
            <w:vAlign w:val="center"/>
          </w:tcPr>
          <w:p w14:paraId="6C5A7C56" w14:textId="77777777" w:rsidR="00A23BAA" w:rsidRPr="00A23BAA" w:rsidRDefault="00A23BAA" w:rsidP="00A23BAA">
            <w:pPr>
              <w:rPr>
                <w:rFonts w:ascii="Arial" w:hAnsi="Arial" w:cs="Arial"/>
                <w:lang w:val="en-US"/>
              </w:rPr>
            </w:pPr>
            <w:r w:rsidRPr="00A23BAA">
              <w:rPr>
                <w:rFonts w:ascii="Arial" w:hAnsi="Arial" w:cs="Arial"/>
                <w:lang w:val="en-US"/>
              </w:rPr>
              <w:t>Anticipated progress: 9%</w:t>
            </w:r>
          </w:p>
          <w:p w14:paraId="5A379C7A" w14:textId="4C044C72" w:rsidR="00E20FE2" w:rsidRPr="00A23BAA" w:rsidRDefault="00E20FE2"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12%</w:t>
            </w:r>
          </w:p>
          <w:p w14:paraId="227AE8C3" w14:textId="71EBA0FD" w:rsidR="00E20FE2" w:rsidRPr="00A23BAA" w:rsidRDefault="00E20FE2" w:rsidP="00DD47F5">
            <w:pPr>
              <w:rPr>
                <w:rFonts w:ascii="Arial" w:hAnsi="Arial" w:cs="Arial"/>
                <w:lang w:val="en-US"/>
              </w:rPr>
            </w:pPr>
            <w:r w:rsidRPr="00A23BAA">
              <w:rPr>
                <w:rFonts w:ascii="Arial" w:hAnsi="Arial" w:cs="Arial"/>
                <w:lang w:val="en-US"/>
              </w:rPr>
              <w:t>AP1:</w:t>
            </w:r>
            <w:r w:rsidR="00F15B30">
              <w:rPr>
                <w:rFonts w:ascii="Arial" w:hAnsi="Arial" w:cs="Arial"/>
                <w:lang w:val="en-US"/>
              </w:rPr>
              <w:t xml:space="preserve"> 3%</w:t>
            </w:r>
          </w:p>
          <w:p w14:paraId="60403EA7" w14:textId="3D73A8D6" w:rsidR="00E20FE2" w:rsidRPr="00A23BAA" w:rsidRDefault="00E20FE2"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7%</w:t>
            </w:r>
          </w:p>
          <w:p w14:paraId="1BB08741" w14:textId="77777777" w:rsidR="00E20FE2" w:rsidRPr="00A23BAA" w:rsidRDefault="00E20FE2" w:rsidP="00DD47F5">
            <w:pPr>
              <w:rPr>
                <w:rFonts w:ascii="Arial" w:hAnsi="Arial" w:cs="Arial"/>
                <w:lang w:val="en-US"/>
              </w:rPr>
            </w:pPr>
            <w:r w:rsidRPr="00A23BAA">
              <w:rPr>
                <w:rFonts w:ascii="Arial" w:hAnsi="Arial" w:cs="Arial"/>
                <w:lang w:val="en-US"/>
              </w:rPr>
              <w:t>AP3:</w:t>
            </w:r>
          </w:p>
          <w:p w14:paraId="5E418262" w14:textId="77777777" w:rsidR="00E20FE2" w:rsidRPr="00A23BAA" w:rsidRDefault="00E20FE2" w:rsidP="00DD47F5">
            <w:pPr>
              <w:rPr>
                <w:rFonts w:ascii="Arial" w:hAnsi="Arial" w:cs="Arial"/>
                <w:lang w:val="en-US"/>
              </w:rPr>
            </w:pPr>
            <w:r w:rsidRPr="00A23BAA">
              <w:rPr>
                <w:rFonts w:ascii="Arial" w:hAnsi="Arial" w:cs="Arial"/>
                <w:lang w:val="en-US"/>
              </w:rPr>
              <w:t>AP4:</w:t>
            </w:r>
          </w:p>
          <w:p w14:paraId="1233C52B" w14:textId="77777777" w:rsidR="00E20FE2" w:rsidRPr="00A23BAA" w:rsidRDefault="00E20FE2" w:rsidP="00DD47F5">
            <w:pPr>
              <w:rPr>
                <w:rFonts w:ascii="Arial" w:hAnsi="Arial" w:cs="Arial"/>
                <w:lang w:val="en-US"/>
              </w:rPr>
            </w:pPr>
            <w:r w:rsidRPr="00A23BAA">
              <w:rPr>
                <w:rFonts w:ascii="Arial" w:hAnsi="Arial" w:cs="Arial"/>
                <w:lang w:val="en-US"/>
              </w:rPr>
              <w:t>AP5:</w:t>
            </w:r>
          </w:p>
          <w:p w14:paraId="671FB4BF" w14:textId="77777777" w:rsidR="00E20FE2" w:rsidRPr="00A23BAA" w:rsidRDefault="00E20FE2" w:rsidP="00DD47F5">
            <w:pPr>
              <w:rPr>
                <w:rFonts w:ascii="Arial" w:hAnsi="Arial" w:cs="Arial"/>
                <w:color w:val="000000"/>
              </w:rPr>
            </w:pPr>
            <w:r w:rsidRPr="00A23BAA">
              <w:rPr>
                <w:rFonts w:ascii="Arial" w:hAnsi="Arial" w:cs="Arial"/>
                <w:lang w:val="en-US"/>
              </w:rPr>
              <w:t>AP6:</w:t>
            </w:r>
          </w:p>
        </w:tc>
      </w:tr>
      <w:tr w:rsidR="00E20FE2" w:rsidRPr="00A23BAA" w14:paraId="3E393321" w14:textId="77777777" w:rsidTr="006561ED">
        <w:trPr>
          <w:trHeight w:val="774"/>
        </w:trPr>
        <w:tc>
          <w:tcPr>
            <w:tcW w:w="2367" w:type="dxa"/>
            <w:vAlign w:val="center"/>
          </w:tcPr>
          <w:p w14:paraId="3E65AF9E" w14:textId="7A12FE87" w:rsidR="00E20FE2" w:rsidRPr="00A23BAA" w:rsidRDefault="00E20FE2" w:rsidP="00DD47F5">
            <w:pPr>
              <w:rPr>
                <w:rFonts w:ascii="Arial" w:hAnsi="Arial" w:cs="Arial"/>
                <w:lang w:val="en-US"/>
              </w:rPr>
            </w:pPr>
            <w:r w:rsidRPr="00A23BAA">
              <w:rPr>
                <w:rFonts w:ascii="Arial" w:hAnsi="Arial" w:cs="Arial"/>
                <w:lang w:val="en-US"/>
              </w:rPr>
              <w:t>Average iASEND progress – Computing</w:t>
            </w:r>
          </w:p>
        </w:tc>
        <w:tc>
          <w:tcPr>
            <w:tcW w:w="1808" w:type="dxa"/>
            <w:vAlign w:val="center"/>
          </w:tcPr>
          <w:p w14:paraId="1236CF40" w14:textId="77777777" w:rsidR="00E20FE2" w:rsidRDefault="00E94EAF" w:rsidP="006561ED">
            <w:pPr>
              <w:jc w:val="center"/>
              <w:rPr>
                <w:rFonts w:ascii="Arial" w:hAnsi="Arial" w:cs="Arial"/>
                <w:lang w:val="en-US"/>
              </w:rPr>
            </w:pPr>
            <w:r>
              <w:rPr>
                <w:rFonts w:ascii="Arial" w:hAnsi="Arial" w:cs="Arial"/>
                <w:lang w:val="en-US"/>
              </w:rPr>
              <w:t>13%</w:t>
            </w:r>
          </w:p>
          <w:p w14:paraId="5E0F0C26" w14:textId="4E74FD3C" w:rsidR="00E94EAF" w:rsidRPr="00A23BAA" w:rsidRDefault="00E94EAF" w:rsidP="006561ED">
            <w:pPr>
              <w:jc w:val="center"/>
              <w:rPr>
                <w:rFonts w:ascii="Arial" w:hAnsi="Arial" w:cs="Arial"/>
                <w:lang w:val="en-US"/>
              </w:rPr>
            </w:pPr>
            <w:r>
              <w:rPr>
                <w:rFonts w:ascii="Arial" w:hAnsi="Arial" w:cs="Arial"/>
                <w:lang w:val="en-US"/>
              </w:rPr>
              <w:t>(</w:t>
            </w:r>
            <w:r w:rsidR="00E2097F">
              <w:rPr>
                <w:rFonts w:ascii="Arial" w:hAnsi="Arial" w:cs="Arial"/>
                <w:lang w:val="en-US"/>
              </w:rPr>
              <w:t xml:space="preserve">After audit </w:t>
            </w:r>
            <w:r>
              <w:rPr>
                <w:rFonts w:ascii="Arial" w:hAnsi="Arial" w:cs="Arial"/>
                <w:lang w:val="en-US"/>
              </w:rPr>
              <w:t>12%)</w:t>
            </w:r>
          </w:p>
        </w:tc>
        <w:tc>
          <w:tcPr>
            <w:tcW w:w="1808" w:type="dxa"/>
            <w:vAlign w:val="center"/>
          </w:tcPr>
          <w:p w14:paraId="02520026" w14:textId="63BC1878" w:rsidR="00E20FE2" w:rsidRPr="00A23BAA" w:rsidRDefault="00EC292D" w:rsidP="006561ED">
            <w:pPr>
              <w:jc w:val="center"/>
              <w:rPr>
                <w:rFonts w:ascii="Arial" w:hAnsi="Arial" w:cs="Arial"/>
                <w:lang w:val="en-US"/>
              </w:rPr>
            </w:pPr>
            <w:r w:rsidRPr="00A23BAA">
              <w:rPr>
                <w:rFonts w:ascii="Arial" w:hAnsi="Arial" w:cs="Arial"/>
                <w:lang w:val="en-US"/>
              </w:rPr>
              <w:t>10%</w:t>
            </w:r>
          </w:p>
        </w:tc>
        <w:tc>
          <w:tcPr>
            <w:tcW w:w="1809" w:type="dxa"/>
            <w:vAlign w:val="center"/>
          </w:tcPr>
          <w:p w14:paraId="1EDC6C53" w14:textId="1623EA98" w:rsidR="00E20FE2" w:rsidRPr="00A23BAA" w:rsidRDefault="00E20FE2" w:rsidP="006561ED">
            <w:pPr>
              <w:jc w:val="center"/>
              <w:rPr>
                <w:rFonts w:ascii="Arial" w:hAnsi="Arial" w:cs="Arial"/>
                <w:lang w:val="en-US"/>
              </w:rPr>
            </w:pPr>
            <w:r w:rsidRPr="00A23BAA">
              <w:rPr>
                <w:rFonts w:ascii="Arial" w:hAnsi="Arial" w:cs="Arial"/>
                <w:lang w:val="en-US"/>
              </w:rPr>
              <w:t>20%</w:t>
            </w:r>
          </w:p>
        </w:tc>
        <w:tc>
          <w:tcPr>
            <w:tcW w:w="2664" w:type="dxa"/>
            <w:vAlign w:val="center"/>
          </w:tcPr>
          <w:p w14:paraId="6660EEB1" w14:textId="77777777" w:rsidR="00A23BAA" w:rsidRPr="00A23BAA" w:rsidRDefault="00A23BAA" w:rsidP="00A23BAA">
            <w:pPr>
              <w:rPr>
                <w:rFonts w:ascii="Arial" w:hAnsi="Arial" w:cs="Arial"/>
                <w:lang w:val="en-US"/>
              </w:rPr>
            </w:pPr>
            <w:r w:rsidRPr="00A23BAA">
              <w:rPr>
                <w:rFonts w:ascii="Arial" w:hAnsi="Arial" w:cs="Arial"/>
                <w:lang w:val="en-US"/>
              </w:rPr>
              <w:t>Anticipated progress: 9%</w:t>
            </w:r>
          </w:p>
          <w:p w14:paraId="20F5120F" w14:textId="23390916" w:rsidR="00E20FE2" w:rsidRPr="00A23BAA" w:rsidRDefault="00E20FE2"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12%</w:t>
            </w:r>
          </w:p>
          <w:p w14:paraId="74C285B0" w14:textId="5C247C54" w:rsidR="00E20FE2" w:rsidRPr="00A23BAA" w:rsidRDefault="00E20FE2" w:rsidP="00DD47F5">
            <w:pPr>
              <w:rPr>
                <w:rFonts w:ascii="Arial" w:hAnsi="Arial" w:cs="Arial"/>
                <w:lang w:val="en-US"/>
              </w:rPr>
            </w:pPr>
            <w:r w:rsidRPr="00A23BAA">
              <w:rPr>
                <w:rFonts w:ascii="Arial" w:hAnsi="Arial" w:cs="Arial"/>
                <w:lang w:val="en-US"/>
              </w:rPr>
              <w:t>AP1:</w:t>
            </w:r>
            <w:r w:rsidR="00F15B30">
              <w:rPr>
                <w:rFonts w:ascii="Arial" w:hAnsi="Arial" w:cs="Arial"/>
                <w:lang w:val="en-US"/>
              </w:rPr>
              <w:t xml:space="preserve"> </w:t>
            </w:r>
            <w:r w:rsidR="004F6093">
              <w:rPr>
                <w:rFonts w:ascii="Arial" w:hAnsi="Arial" w:cs="Arial"/>
                <w:lang w:val="en-US"/>
              </w:rPr>
              <w:t>6</w:t>
            </w:r>
            <w:r w:rsidR="00F15B30">
              <w:rPr>
                <w:rFonts w:ascii="Arial" w:hAnsi="Arial" w:cs="Arial"/>
                <w:lang w:val="en-US"/>
              </w:rPr>
              <w:t>%</w:t>
            </w:r>
          </w:p>
          <w:p w14:paraId="658FB2A3" w14:textId="350A0442" w:rsidR="00E20FE2" w:rsidRPr="00A23BAA" w:rsidRDefault="00E20FE2"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10%</w:t>
            </w:r>
          </w:p>
          <w:p w14:paraId="54C5013D" w14:textId="77777777" w:rsidR="00E20FE2" w:rsidRPr="00A23BAA" w:rsidRDefault="00E20FE2" w:rsidP="00DD47F5">
            <w:pPr>
              <w:rPr>
                <w:rFonts w:ascii="Arial" w:hAnsi="Arial" w:cs="Arial"/>
                <w:lang w:val="en-US"/>
              </w:rPr>
            </w:pPr>
            <w:r w:rsidRPr="00A23BAA">
              <w:rPr>
                <w:rFonts w:ascii="Arial" w:hAnsi="Arial" w:cs="Arial"/>
                <w:lang w:val="en-US"/>
              </w:rPr>
              <w:t>AP3:</w:t>
            </w:r>
          </w:p>
          <w:p w14:paraId="24CD5BD3" w14:textId="77777777" w:rsidR="00E20FE2" w:rsidRPr="00A23BAA" w:rsidRDefault="00E20FE2" w:rsidP="00DD47F5">
            <w:pPr>
              <w:rPr>
                <w:rFonts w:ascii="Arial" w:hAnsi="Arial" w:cs="Arial"/>
                <w:lang w:val="en-US"/>
              </w:rPr>
            </w:pPr>
            <w:r w:rsidRPr="00A23BAA">
              <w:rPr>
                <w:rFonts w:ascii="Arial" w:hAnsi="Arial" w:cs="Arial"/>
                <w:lang w:val="en-US"/>
              </w:rPr>
              <w:t>AP4:</w:t>
            </w:r>
          </w:p>
          <w:p w14:paraId="75487F3F" w14:textId="77777777" w:rsidR="00E20FE2" w:rsidRPr="00A23BAA" w:rsidRDefault="00E20FE2" w:rsidP="00DD47F5">
            <w:pPr>
              <w:rPr>
                <w:rFonts w:ascii="Arial" w:hAnsi="Arial" w:cs="Arial"/>
                <w:lang w:val="en-US"/>
              </w:rPr>
            </w:pPr>
            <w:r w:rsidRPr="00A23BAA">
              <w:rPr>
                <w:rFonts w:ascii="Arial" w:hAnsi="Arial" w:cs="Arial"/>
                <w:lang w:val="en-US"/>
              </w:rPr>
              <w:t>AP5:</w:t>
            </w:r>
          </w:p>
          <w:p w14:paraId="093480AD" w14:textId="79468CAB" w:rsidR="00E20FE2" w:rsidRPr="00A23BAA" w:rsidRDefault="00E20FE2" w:rsidP="00DD47F5">
            <w:pPr>
              <w:rPr>
                <w:rFonts w:ascii="Arial" w:hAnsi="Arial" w:cs="Arial"/>
                <w:lang w:val="en-US"/>
              </w:rPr>
            </w:pPr>
            <w:r w:rsidRPr="00A23BAA">
              <w:rPr>
                <w:rFonts w:ascii="Arial" w:hAnsi="Arial" w:cs="Arial"/>
                <w:lang w:val="en-US"/>
              </w:rPr>
              <w:t>AP6:</w:t>
            </w:r>
          </w:p>
        </w:tc>
      </w:tr>
      <w:tr w:rsidR="00E20FE2" w:rsidRPr="00A23BAA" w14:paraId="220BD5AF" w14:textId="77777777" w:rsidTr="006561ED">
        <w:trPr>
          <w:trHeight w:val="774"/>
        </w:trPr>
        <w:tc>
          <w:tcPr>
            <w:tcW w:w="2367" w:type="dxa"/>
            <w:vAlign w:val="center"/>
          </w:tcPr>
          <w:p w14:paraId="4627C6DC" w14:textId="46934FD5" w:rsidR="00E20FE2" w:rsidRPr="00A23BAA" w:rsidRDefault="00E20FE2" w:rsidP="00DD47F5">
            <w:pPr>
              <w:rPr>
                <w:rFonts w:ascii="Arial" w:hAnsi="Arial" w:cs="Arial"/>
                <w:lang w:val="en-US"/>
              </w:rPr>
            </w:pPr>
            <w:r w:rsidRPr="00A23BAA">
              <w:rPr>
                <w:rFonts w:ascii="Arial" w:hAnsi="Arial" w:cs="Arial"/>
                <w:lang w:val="en-US"/>
              </w:rPr>
              <w:t>Average iASEND progress – PSED</w:t>
            </w:r>
          </w:p>
        </w:tc>
        <w:tc>
          <w:tcPr>
            <w:tcW w:w="1808" w:type="dxa"/>
            <w:vAlign w:val="center"/>
          </w:tcPr>
          <w:p w14:paraId="7A1093DA" w14:textId="77777777" w:rsidR="00E20FE2" w:rsidRDefault="00E94EAF" w:rsidP="006561ED">
            <w:pPr>
              <w:jc w:val="center"/>
              <w:rPr>
                <w:rFonts w:ascii="Arial" w:hAnsi="Arial" w:cs="Arial"/>
                <w:lang w:val="en-US"/>
              </w:rPr>
            </w:pPr>
            <w:r>
              <w:rPr>
                <w:rFonts w:ascii="Arial" w:hAnsi="Arial" w:cs="Arial"/>
                <w:lang w:val="en-US"/>
              </w:rPr>
              <w:t>13%</w:t>
            </w:r>
          </w:p>
          <w:p w14:paraId="7F04D0D7" w14:textId="69E1930F" w:rsidR="00E94EAF" w:rsidRPr="00A23BAA" w:rsidRDefault="00E94EAF" w:rsidP="006561ED">
            <w:pPr>
              <w:jc w:val="center"/>
              <w:rPr>
                <w:rFonts w:ascii="Arial" w:hAnsi="Arial" w:cs="Arial"/>
                <w:lang w:val="en-US"/>
              </w:rPr>
            </w:pPr>
            <w:r>
              <w:rPr>
                <w:rFonts w:ascii="Arial" w:hAnsi="Arial" w:cs="Arial"/>
                <w:lang w:val="en-US"/>
              </w:rPr>
              <w:t>(</w:t>
            </w:r>
            <w:r w:rsidR="00E2097F">
              <w:rPr>
                <w:rFonts w:ascii="Arial" w:hAnsi="Arial" w:cs="Arial"/>
                <w:lang w:val="en-US"/>
              </w:rPr>
              <w:t xml:space="preserve">After audit </w:t>
            </w:r>
            <w:r>
              <w:rPr>
                <w:rFonts w:ascii="Arial" w:hAnsi="Arial" w:cs="Arial"/>
                <w:lang w:val="en-US"/>
              </w:rPr>
              <w:t>11%)</w:t>
            </w:r>
          </w:p>
        </w:tc>
        <w:tc>
          <w:tcPr>
            <w:tcW w:w="1808" w:type="dxa"/>
            <w:vAlign w:val="center"/>
          </w:tcPr>
          <w:p w14:paraId="76CCD006" w14:textId="3874610E" w:rsidR="00E20FE2" w:rsidRPr="00A23BAA" w:rsidRDefault="00EC292D" w:rsidP="006561ED">
            <w:pPr>
              <w:jc w:val="center"/>
              <w:rPr>
                <w:rFonts w:ascii="Arial" w:hAnsi="Arial" w:cs="Arial"/>
                <w:lang w:val="en-US"/>
              </w:rPr>
            </w:pPr>
            <w:r w:rsidRPr="00A23BAA">
              <w:rPr>
                <w:rFonts w:ascii="Arial" w:hAnsi="Arial" w:cs="Arial"/>
                <w:lang w:val="en-US"/>
              </w:rPr>
              <w:t>11%</w:t>
            </w:r>
          </w:p>
        </w:tc>
        <w:tc>
          <w:tcPr>
            <w:tcW w:w="1809" w:type="dxa"/>
            <w:vAlign w:val="center"/>
          </w:tcPr>
          <w:p w14:paraId="2A556334" w14:textId="04F9AA4C" w:rsidR="00E20FE2" w:rsidRPr="00A23BAA" w:rsidRDefault="00E20FE2" w:rsidP="006561ED">
            <w:pPr>
              <w:jc w:val="center"/>
              <w:rPr>
                <w:rFonts w:ascii="Arial" w:hAnsi="Arial" w:cs="Arial"/>
                <w:lang w:val="en-US"/>
              </w:rPr>
            </w:pPr>
            <w:r w:rsidRPr="00A23BAA">
              <w:rPr>
                <w:rFonts w:ascii="Arial" w:hAnsi="Arial" w:cs="Arial"/>
                <w:lang w:val="en-US"/>
              </w:rPr>
              <w:t>20%</w:t>
            </w:r>
          </w:p>
        </w:tc>
        <w:tc>
          <w:tcPr>
            <w:tcW w:w="2664" w:type="dxa"/>
            <w:vAlign w:val="center"/>
          </w:tcPr>
          <w:p w14:paraId="2FB1FB75" w14:textId="77777777" w:rsidR="00A23BAA" w:rsidRPr="00A23BAA" w:rsidRDefault="00A23BAA" w:rsidP="00A23BAA">
            <w:pPr>
              <w:rPr>
                <w:rFonts w:ascii="Arial" w:hAnsi="Arial" w:cs="Arial"/>
                <w:lang w:val="en-US"/>
              </w:rPr>
            </w:pPr>
            <w:r w:rsidRPr="00A23BAA">
              <w:rPr>
                <w:rFonts w:ascii="Arial" w:hAnsi="Arial" w:cs="Arial"/>
                <w:lang w:val="en-US"/>
              </w:rPr>
              <w:t>Anticipated progress: 9%</w:t>
            </w:r>
          </w:p>
          <w:p w14:paraId="228F74D5" w14:textId="313FFEAF" w:rsidR="00E20FE2" w:rsidRPr="00A23BAA" w:rsidRDefault="00E20FE2" w:rsidP="00DD47F5">
            <w:pPr>
              <w:rPr>
                <w:rFonts w:ascii="Arial" w:hAnsi="Arial" w:cs="Arial"/>
                <w:lang w:val="en-US"/>
              </w:rPr>
            </w:pPr>
            <w:r w:rsidRPr="00A23BAA">
              <w:rPr>
                <w:rFonts w:ascii="Arial" w:hAnsi="Arial" w:cs="Arial"/>
                <w:lang w:val="en-US"/>
              </w:rPr>
              <w:t>Aspirational target:</w:t>
            </w:r>
            <w:r w:rsidR="00A23BAA" w:rsidRPr="00A23BAA">
              <w:rPr>
                <w:rFonts w:ascii="Arial" w:hAnsi="Arial" w:cs="Arial"/>
                <w:lang w:val="en-US"/>
              </w:rPr>
              <w:t xml:space="preserve"> 12%</w:t>
            </w:r>
          </w:p>
          <w:p w14:paraId="7481DAD4" w14:textId="1E9CC82C" w:rsidR="00E20FE2" w:rsidRPr="00A23BAA" w:rsidRDefault="00E20FE2" w:rsidP="00DD47F5">
            <w:pPr>
              <w:rPr>
                <w:rFonts w:ascii="Arial" w:hAnsi="Arial" w:cs="Arial"/>
                <w:lang w:val="en-US"/>
              </w:rPr>
            </w:pPr>
            <w:r w:rsidRPr="00A23BAA">
              <w:rPr>
                <w:rFonts w:ascii="Arial" w:hAnsi="Arial" w:cs="Arial"/>
                <w:lang w:val="en-US"/>
              </w:rPr>
              <w:t>AP1:</w:t>
            </w:r>
            <w:r w:rsidR="00F15B30">
              <w:rPr>
                <w:rFonts w:ascii="Arial" w:hAnsi="Arial" w:cs="Arial"/>
                <w:lang w:val="en-US"/>
              </w:rPr>
              <w:t xml:space="preserve"> 3%</w:t>
            </w:r>
          </w:p>
          <w:p w14:paraId="34B4F3D9" w14:textId="5511C877" w:rsidR="00E20FE2" w:rsidRPr="00A23BAA" w:rsidRDefault="00E20FE2" w:rsidP="00DD47F5">
            <w:pPr>
              <w:rPr>
                <w:rFonts w:ascii="Arial" w:hAnsi="Arial" w:cs="Arial"/>
                <w:lang w:val="en-US"/>
              </w:rPr>
            </w:pPr>
            <w:r w:rsidRPr="00A23BAA">
              <w:rPr>
                <w:rFonts w:ascii="Arial" w:hAnsi="Arial" w:cs="Arial"/>
                <w:lang w:val="en-US"/>
              </w:rPr>
              <w:t>AP2:</w:t>
            </w:r>
            <w:r w:rsidR="00157637">
              <w:rPr>
                <w:rFonts w:ascii="Arial" w:hAnsi="Arial" w:cs="Arial"/>
                <w:lang w:val="en-US"/>
              </w:rPr>
              <w:t xml:space="preserve"> 8%</w:t>
            </w:r>
          </w:p>
          <w:p w14:paraId="1CFB96FD" w14:textId="77777777" w:rsidR="00E20FE2" w:rsidRPr="00A23BAA" w:rsidRDefault="00E20FE2" w:rsidP="00DD47F5">
            <w:pPr>
              <w:rPr>
                <w:rFonts w:ascii="Arial" w:hAnsi="Arial" w:cs="Arial"/>
                <w:lang w:val="en-US"/>
              </w:rPr>
            </w:pPr>
            <w:r w:rsidRPr="00A23BAA">
              <w:rPr>
                <w:rFonts w:ascii="Arial" w:hAnsi="Arial" w:cs="Arial"/>
                <w:lang w:val="en-US"/>
              </w:rPr>
              <w:t>AP3:</w:t>
            </w:r>
          </w:p>
          <w:p w14:paraId="7ADC2280" w14:textId="77777777" w:rsidR="00E20FE2" w:rsidRPr="00A23BAA" w:rsidRDefault="00E20FE2" w:rsidP="00DD47F5">
            <w:pPr>
              <w:rPr>
                <w:rFonts w:ascii="Arial" w:hAnsi="Arial" w:cs="Arial"/>
                <w:lang w:val="en-US"/>
              </w:rPr>
            </w:pPr>
            <w:r w:rsidRPr="00A23BAA">
              <w:rPr>
                <w:rFonts w:ascii="Arial" w:hAnsi="Arial" w:cs="Arial"/>
                <w:lang w:val="en-US"/>
              </w:rPr>
              <w:t>AP4:</w:t>
            </w:r>
          </w:p>
          <w:p w14:paraId="6A248A59" w14:textId="77777777" w:rsidR="00E20FE2" w:rsidRPr="00A23BAA" w:rsidRDefault="00E20FE2" w:rsidP="00DD47F5">
            <w:pPr>
              <w:rPr>
                <w:rFonts w:ascii="Arial" w:hAnsi="Arial" w:cs="Arial"/>
                <w:lang w:val="en-US"/>
              </w:rPr>
            </w:pPr>
            <w:r w:rsidRPr="00A23BAA">
              <w:rPr>
                <w:rFonts w:ascii="Arial" w:hAnsi="Arial" w:cs="Arial"/>
                <w:lang w:val="en-US"/>
              </w:rPr>
              <w:t>AP5:</w:t>
            </w:r>
          </w:p>
          <w:p w14:paraId="28CB8075" w14:textId="16DC704C" w:rsidR="00E20FE2" w:rsidRPr="00A23BAA" w:rsidRDefault="00E20FE2" w:rsidP="00DD47F5">
            <w:pPr>
              <w:rPr>
                <w:rFonts w:ascii="Arial" w:hAnsi="Arial" w:cs="Arial"/>
                <w:lang w:val="en-US"/>
              </w:rPr>
            </w:pPr>
            <w:r w:rsidRPr="00A23BAA">
              <w:rPr>
                <w:rFonts w:ascii="Arial" w:hAnsi="Arial" w:cs="Arial"/>
                <w:lang w:val="en-US"/>
              </w:rPr>
              <w:t>AP6:</w:t>
            </w:r>
          </w:p>
        </w:tc>
      </w:tr>
    </w:tbl>
    <w:p w14:paraId="1B200F87" w14:textId="0DD39D10" w:rsidR="00E20FE2" w:rsidRDefault="00E20FE2" w:rsidP="006511ED">
      <w:pPr>
        <w:rPr>
          <w:rFonts w:ascii="Arial" w:hAnsi="Arial" w:cs="Arial"/>
          <w:lang w:val="en-US"/>
        </w:rPr>
      </w:pPr>
    </w:p>
    <w:p w14:paraId="0A3D36E6" w14:textId="2DFFC9C5" w:rsidR="00E2097F" w:rsidRPr="00C6518B" w:rsidRDefault="00E2097F" w:rsidP="006511ED">
      <w:pPr>
        <w:rPr>
          <w:rFonts w:ascii="Arial" w:hAnsi="Arial" w:cs="Arial"/>
          <w:i/>
          <w:iCs/>
          <w:lang w:val="en-US"/>
        </w:rPr>
      </w:pPr>
      <w:r w:rsidRPr="00C6518B">
        <w:rPr>
          <w:rFonts w:ascii="Arial" w:hAnsi="Arial" w:cs="Arial"/>
          <w:i/>
          <w:iCs/>
          <w:lang w:val="en-US"/>
        </w:rPr>
        <w:t>Note for 19-20 data</w:t>
      </w:r>
    </w:p>
    <w:p w14:paraId="48EC68C0" w14:textId="215AE73C" w:rsidR="00E2097F" w:rsidRPr="00C6518B" w:rsidRDefault="00B112D6" w:rsidP="00C6518B">
      <w:pPr>
        <w:jc w:val="both"/>
        <w:rPr>
          <w:rFonts w:ascii="Arial" w:hAnsi="Arial" w:cs="Arial"/>
          <w:i/>
          <w:iCs/>
          <w:lang w:val="en-US"/>
        </w:rPr>
      </w:pPr>
      <w:r>
        <w:rPr>
          <w:rFonts w:ascii="Arial" w:hAnsi="Arial" w:cs="Arial"/>
          <w:i/>
          <w:iCs/>
          <w:lang w:val="en-US"/>
        </w:rPr>
        <w:t>After</w:t>
      </w:r>
      <w:r w:rsidR="00E2097F" w:rsidRPr="00C6518B">
        <w:rPr>
          <w:rFonts w:ascii="Arial" w:hAnsi="Arial" w:cs="Arial"/>
          <w:i/>
          <w:iCs/>
          <w:lang w:val="en-US"/>
        </w:rPr>
        <w:t xml:space="preserve"> audit it appeared one class data was input incorrectly. </w:t>
      </w:r>
      <w:r w:rsidR="00C6518B">
        <w:rPr>
          <w:rFonts w:ascii="Arial" w:hAnsi="Arial" w:cs="Arial"/>
          <w:i/>
          <w:iCs/>
          <w:lang w:val="en-US"/>
        </w:rPr>
        <w:t xml:space="preserve">This led to a skewing of the data so two figures are included for this year; pre and post audit. </w:t>
      </w:r>
    </w:p>
    <w:p w14:paraId="6560B950" w14:textId="29164CEA" w:rsidR="00C6518B" w:rsidRDefault="00C6518B" w:rsidP="00C6518B">
      <w:pPr>
        <w:jc w:val="both"/>
        <w:rPr>
          <w:rFonts w:ascii="Arial" w:hAnsi="Arial" w:cs="Arial"/>
          <w:lang w:val="en-US"/>
        </w:rPr>
      </w:pPr>
      <w:r>
        <w:rPr>
          <w:rFonts w:ascii="Arial" w:hAnsi="Arial" w:cs="Arial"/>
          <w:lang w:val="en-US"/>
        </w:rPr>
        <w:t xml:space="preserve">Whilst </w:t>
      </w:r>
      <w:r w:rsidR="00E2097F">
        <w:rPr>
          <w:rFonts w:ascii="Arial" w:hAnsi="Arial" w:cs="Arial"/>
          <w:lang w:val="en-US"/>
        </w:rPr>
        <w:t xml:space="preserve">iASEND </w:t>
      </w:r>
      <w:r>
        <w:rPr>
          <w:rFonts w:ascii="Arial" w:hAnsi="Arial" w:cs="Arial"/>
          <w:lang w:val="en-US"/>
        </w:rPr>
        <w:t xml:space="preserve">is our main assessment tool used for the majority of students, it </w:t>
      </w:r>
      <w:r w:rsidR="00E2097F">
        <w:rPr>
          <w:rFonts w:ascii="Arial" w:hAnsi="Arial" w:cs="Arial"/>
          <w:lang w:val="en-US"/>
        </w:rPr>
        <w:t xml:space="preserve">is not </w:t>
      </w:r>
      <w:r>
        <w:rPr>
          <w:rFonts w:ascii="Arial" w:hAnsi="Arial" w:cs="Arial"/>
          <w:lang w:val="en-US"/>
        </w:rPr>
        <w:t>appropriate for students not engaging in subject specific learning; those on the Early Years Foundation Stage, students with profound and multiple learning difficulties, and students following a preparation for adulthood curriculum. For these different areas we have followed guidance around best practice for assessment.</w:t>
      </w:r>
    </w:p>
    <w:p w14:paraId="3A3C58A6" w14:textId="275746C2" w:rsidR="00B63413" w:rsidRPr="00A23BAA" w:rsidRDefault="00C6518B" w:rsidP="00C6518B">
      <w:pPr>
        <w:jc w:val="both"/>
        <w:rPr>
          <w:rFonts w:ascii="Arial" w:hAnsi="Arial" w:cs="Arial"/>
          <w:lang w:val="en-US"/>
        </w:rPr>
      </w:pPr>
      <w:r>
        <w:rPr>
          <w:rFonts w:ascii="Arial" w:hAnsi="Arial" w:cs="Arial"/>
          <w:lang w:val="en-US"/>
        </w:rPr>
        <w:t>Early Years Foundation Stage (</w:t>
      </w:r>
      <w:r w:rsidR="00B63413">
        <w:rPr>
          <w:rFonts w:ascii="Arial" w:hAnsi="Arial" w:cs="Arial"/>
          <w:lang w:val="en-US"/>
        </w:rPr>
        <w:t>EYFS</w:t>
      </w:r>
      <w:r>
        <w:rPr>
          <w:rFonts w:ascii="Arial" w:hAnsi="Arial" w:cs="Arial"/>
          <w:lang w:val="en-US"/>
        </w:rPr>
        <w:t>)</w:t>
      </w:r>
      <w:r w:rsidR="00B63413">
        <w:rPr>
          <w:rFonts w:ascii="Arial" w:hAnsi="Arial" w:cs="Arial"/>
          <w:lang w:val="en-US"/>
        </w:rPr>
        <w:t xml:space="preserve"> </w:t>
      </w:r>
      <w:r>
        <w:rPr>
          <w:rFonts w:ascii="Arial" w:hAnsi="Arial" w:cs="Arial"/>
          <w:lang w:val="en-US"/>
        </w:rPr>
        <w:t>– Students of nursery and reception</w:t>
      </w:r>
      <w:r w:rsidR="00B63413">
        <w:rPr>
          <w:rFonts w:ascii="Arial" w:hAnsi="Arial" w:cs="Arial"/>
          <w:lang w:val="en-US"/>
        </w:rPr>
        <w:t xml:space="preserve"> </w:t>
      </w:r>
      <w:r>
        <w:rPr>
          <w:rFonts w:ascii="Arial" w:hAnsi="Arial" w:cs="Arial"/>
          <w:lang w:val="en-US"/>
        </w:rPr>
        <w:t xml:space="preserve">age are assessed by teachers on their progress towards the Early Learning Goals. This is a teacher judgement assessment, supported by narrative observation and photo/video evidence. During this time, students are also observed for teacher to plan their next assessment pathway – learning goals or iASEND. </w:t>
      </w:r>
    </w:p>
    <w:p w14:paraId="1F7A1AD3" w14:textId="77777777" w:rsidR="00C6518B" w:rsidRDefault="00C6518B" w:rsidP="00C6518B">
      <w:pPr>
        <w:jc w:val="both"/>
        <w:rPr>
          <w:rFonts w:ascii="Arial" w:hAnsi="Arial" w:cs="Arial"/>
          <w:lang w:val="en-US"/>
        </w:rPr>
      </w:pPr>
    </w:p>
    <w:p w14:paraId="4A114CEE" w14:textId="02CD4250" w:rsidR="006511ED" w:rsidRDefault="006511ED" w:rsidP="00C6518B">
      <w:pPr>
        <w:jc w:val="both"/>
        <w:rPr>
          <w:rFonts w:ascii="Arial" w:hAnsi="Arial" w:cs="Arial"/>
          <w:lang w:val="en-US"/>
        </w:rPr>
      </w:pPr>
      <w:r w:rsidRPr="00A23BAA">
        <w:rPr>
          <w:rFonts w:ascii="Arial" w:hAnsi="Arial" w:cs="Arial"/>
          <w:lang w:val="en-US"/>
        </w:rPr>
        <w:t>Learning goals</w:t>
      </w:r>
      <w:r w:rsidR="00E2097F">
        <w:rPr>
          <w:rFonts w:ascii="Arial" w:hAnsi="Arial" w:cs="Arial"/>
          <w:lang w:val="en-US"/>
        </w:rPr>
        <w:t xml:space="preserve"> – </w:t>
      </w:r>
      <w:r w:rsidR="00C6518B">
        <w:rPr>
          <w:rFonts w:ascii="Arial" w:hAnsi="Arial" w:cs="Arial"/>
          <w:lang w:val="en-US"/>
        </w:rPr>
        <w:t xml:space="preserve">Learning goals are individual, aspirational targets which are frequently reviewed by teaching staff to ensure they remain appropriate. The goals link to the Education, Health and Care Plan outcomes and are student specific to meet their individual needs. These ran for the first year in 21-22 and we collected baseline data. This enabled us to set a target for expected progress through learning goals per half term for 22-23.  </w:t>
      </w:r>
    </w:p>
    <w:tbl>
      <w:tblPr>
        <w:tblpPr w:leftFromText="180" w:rightFromText="180" w:vertAnchor="page" w:horzAnchor="page" w:tblpXSpec="center" w:tblpY="2881"/>
        <w:tblW w:w="9761" w:type="dxa"/>
        <w:tblLook w:val="04A0" w:firstRow="1" w:lastRow="0" w:firstColumn="1" w:lastColumn="0" w:noHBand="0" w:noVBand="1"/>
      </w:tblPr>
      <w:tblGrid>
        <w:gridCol w:w="1725"/>
        <w:gridCol w:w="928"/>
        <w:gridCol w:w="2396"/>
        <w:gridCol w:w="2444"/>
        <w:gridCol w:w="2268"/>
      </w:tblGrid>
      <w:tr w:rsidR="004E2FDC" w:rsidRPr="00B34BBA" w14:paraId="0A8E3563" w14:textId="77777777" w:rsidTr="004E2FDC">
        <w:trPr>
          <w:trHeight w:val="301"/>
        </w:trPr>
        <w:tc>
          <w:tcPr>
            <w:tcW w:w="1725" w:type="dxa"/>
            <w:tcBorders>
              <w:top w:val="single" w:sz="8" w:space="0" w:color="auto"/>
              <w:left w:val="single" w:sz="8" w:space="0" w:color="auto"/>
              <w:bottom w:val="single" w:sz="8" w:space="0" w:color="auto"/>
              <w:right w:val="nil"/>
            </w:tcBorders>
            <w:shd w:val="clear" w:color="000000" w:fill="DDD9C4"/>
            <w:noWrap/>
            <w:vAlign w:val="center"/>
            <w:hideMark/>
          </w:tcPr>
          <w:p w14:paraId="6D249905"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Learning Goals</w:t>
            </w:r>
          </w:p>
        </w:tc>
        <w:tc>
          <w:tcPr>
            <w:tcW w:w="928" w:type="dxa"/>
            <w:tcBorders>
              <w:top w:val="single" w:sz="8" w:space="0" w:color="auto"/>
              <w:left w:val="single" w:sz="8" w:space="0" w:color="auto"/>
              <w:bottom w:val="single" w:sz="8" w:space="0" w:color="auto"/>
              <w:right w:val="nil"/>
            </w:tcBorders>
            <w:shd w:val="clear" w:color="000000" w:fill="DDD9C4"/>
            <w:noWrap/>
            <w:vAlign w:val="center"/>
            <w:hideMark/>
          </w:tcPr>
          <w:p w14:paraId="300F3C12"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Class</w:t>
            </w:r>
          </w:p>
        </w:tc>
        <w:tc>
          <w:tcPr>
            <w:tcW w:w="2396" w:type="dxa"/>
            <w:tcBorders>
              <w:top w:val="single" w:sz="8" w:space="0" w:color="auto"/>
              <w:left w:val="single" w:sz="8" w:space="0" w:color="auto"/>
              <w:bottom w:val="single" w:sz="8" w:space="0" w:color="auto"/>
              <w:right w:val="single" w:sz="8" w:space="0" w:color="000000"/>
            </w:tcBorders>
            <w:shd w:val="clear" w:color="000000" w:fill="DDD9C4"/>
            <w:noWrap/>
            <w:vAlign w:val="center"/>
            <w:hideMark/>
          </w:tcPr>
          <w:p w14:paraId="53803DB4"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Average LG achieved per half term</w:t>
            </w:r>
          </w:p>
        </w:tc>
        <w:tc>
          <w:tcPr>
            <w:tcW w:w="2444" w:type="dxa"/>
            <w:tcBorders>
              <w:top w:val="single" w:sz="8" w:space="0" w:color="auto"/>
              <w:left w:val="single" w:sz="8" w:space="0" w:color="auto"/>
              <w:bottom w:val="single" w:sz="8" w:space="0" w:color="auto"/>
              <w:right w:val="single" w:sz="8" w:space="0" w:color="000000"/>
            </w:tcBorders>
            <w:shd w:val="clear" w:color="000000" w:fill="DDD9C4"/>
            <w:vAlign w:val="center"/>
          </w:tcPr>
          <w:p w14:paraId="79CC00F2"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AP1 Average LG</w:t>
            </w:r>
          </w:p>
        </w:tc>
        <w:tc>
          <w:tcPr>
            <w:tcW w:w="2268" w:type="dxa"/>
            <w:tcBorders>
              <w:top w:val="single" w:sz="8" w:space="0" w:color="auto"/>
              <w:left w:val="single" w:sz="8" w:space="0" w:color="auto"/>
              <w:bottom w:val="single" w:sz="8" w:space="0" w:color="auto"/>
              <w:right w:val="single" w:sz="8" w:space="0" w:color="000000"/>
            </w:tcBorders>
            <w:shd w:val="clear" w:color="000000" w:fill="DDD9C4"/>
            <w:vAlign w:val="center"/>
          </w:tcPr>
          <w:p w14:paraId="224D4CF6" w14:textId="77777777" w:rsidR="004E2FDC"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AP2 Average LG</w:t>
            </w:r>
          </w:p>
        </w:tc>
      </w:tr>
      <w:tr w:rsidR="004E2FDC" w:rsidRPr="00B34BBA" w14:paraId="739A7AF2" w14:textId="77777777" w:rsidTr="004E2FDC">
        <w:trPr>
          <w:trHeight w:val="289"/>
        </w:trPr>
        <w:tc>
          <w:tcPr>
            <w:tcW w:w="1725" w:type="dxa"/>
            <w:tcBorders>
              <w:top w:val="nil"/>
              <w:left w:val="single" w:sz="8" w:space="0" w:color="auto"/>
              <w:bottom w:val="single" w:sz="4" w:space="0" w:color="auto"/>
              <w:right w:val="single" w:sz="4" w:space="0" w:color="auto"/>
            </w:tcBorders>
            <w:shd w:val="clear" w:color="auto" w:fill="auto"/>
            <w:noWrap/>
            <w:vAlign w:val="center"/>
            <w:hideMark/>
          </w:tcPr>
          <w:p w14:paraId="0CA2DD67"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PMLD 4 students</w:t>
            </w:r>
          </w:p>
        </w:tc>
        <w:tc>
          <w:tcPr>
            <w:tcW w:w="928" w:type="dxa"/>
            <w:tcBorders>
              <w:top w:val="nil"/>
              <w:left w:val="nil"/>
              <w:bottom w:val="single" w:sz="4" w:space="0" w:color="auto"/>
              <w:right w:val="nil"/>
            </w:tcBorders>
            <w:shd w:val="clear" w:color="auto" w:fill="auto"/>
            <w:noWrap/>
            <w:vAlign w:val="center"/>
            <w:hideMark/>
          </w:tcPr>
          <w:p w14:paraId="5F146200" w14:textId="52B29DE0" w:rsidR="004E2FDC" w:rsidRPr="00B34BBA" w:rsidRDefault="00B112D6"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396" w:type="dxa"/>
            <w:tcBorders>
              <w:top w:val="nil"/>
              <w:left w:val="single" w:sz="4" w:space="0" w:color="auto"/>
              <w:bottom w:val="single" w:sz="4" w:space="0" w:color="auto"/>
              <w:right w:val="single" w:sz="8" w:space="0" w:color="000000"/>
            </w:tcBorders>
            <w:shd w:val="clear" w:color="auto" w:fill="auto"/>
            <w:noWrap/>
            <w:vAlign w:val="center"/>
            <w:hideMark/>
          </w:tcPr>
          <w:p w14:paraId="2C0092F0"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3</w:t>
            </w:r>
          </w:p>
        </w:tc>
        <w:tc>
          <w:tcPr>
            <w:tcW w:w="2444" w:type="dxa"/>
            <w:tcBorders>
              <w:top w:val="nil"/>
              <w:left w:val="single" w:sz="4" w:space="0" w:color="auto"/>
              <w:bottom w:val="single" w:sz="4" w:space="0" w:color="auto"/>
              <w:right w:val="single" w:sz="8" w:space="0" w:color="000000"/>
            </w:tcBorders>
            <w:vAlign w:val="center"/>
          </w:tcPr>
          <w:p w14:paraId="2D11BB1C"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2268" w:type="dxa"/>
            <w:tcBorders>
              <w:top w:val="nil"/>
              <w:left w:val="single" w:sz="4" w:space="0" w:color="auto"/>
              <w:bottom w:val="single" w:sz="4" w:space="0" w:color="auto"/>
              <w:right w:val="single" w:sz="8" w:space="0" w:color="000000"/>
            </w:tcBorders>
            <w:vAlign w:val="center"/>
          </w:tcPr>
          <w:p w14:paraId="1C43E44F" w14:textId="6C8461DF" w:rsidR="004E2FDC" w:rsidRDefault="004C0781"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w:t>
            </w:r>
          </w:p>
        </w:tc>
      </w:tr>
      <w:tr w:rsidR="004E2FDC" w:rsidRPr="00B34BBA" w14:paraId="582DB4B0" w14:textId="77777777" w:rsidTr="00B112D6">
        <w:trPr>
          <w:trHeight w:val="289"/>
        </w:trPr>
        <w:tc>
          <w:tcPr>
            <w:tcW w:w="1725" w:type="dxa"/>
            <w:tcBorders>
              <w:top w:val="nil"/>
              <w:left w:val="single" w:sz="8" w:space="0" w:color="auto"/>
              <w:bottom w:val="single" w:sz="4" w:space="0" w:color="auto"/>
              <w:right w:val="single" w:sz="4" w:space="0" w:color="auto"/>
            </w:tcBorders>
            <w:shd w:val="clear" w:color="auto" w:fill="auto"/>
            <w:noWrap/>
            <w:vAlign w:val="center"/>
            <w:hideMark/>
          </w:tcPr>
          <w:p w14:paraId="086B845D"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PMLD 3 students</w:t>
            </w:r>
          </w:p>
        </w:tc>
        <w:tc>
          <w:tcPr>
            <w:tcW w:w="928" w:type="dxa"/>
            <w:tcBorders>
              <w:top w:val="nil"/>
              <w:left w:val="nil"/>
              <w:bottom w:val="single" w:sz="4" w:space="0" w:color="auto"/>
              <w:right w:val="nil"/>
            </w:tcBorders>
            <w:shd w:val="clear" w:color="auto" w:fill="auto"/>
            <w:noWrap/>
            <w:vAlign w:val="center"/>
          </w:tcPr>
          <w:p w14:paraId="1FC18D5F" w14:textId="3A45852C" w:rsidR="004E2FDC" w:rsidRPr="00B34BBA" w:rsidRDefault="00B112D6"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239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F594815"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2</w:t>
            </w:r>
          </w:p>
        </w:tc>
        <w:tc>
          <w:tcPr>
            <w:tcW w:w="2444" w:type="dxa"/>
            <w:tcBorders>
              <w:top w:val="single" w:sz="4" w:space="0" w:color="auto"/>
              <w:left w:val="single" w:sz="4" w:space="0" w:color="auto"/>
              <w:bottom w:val="single" w:sz="4" w:space="0" w:color="auto"/>
              <w:right w:val="single" w:sz="8" w:space="0" w:color="000000"/>
            </w:tcBorders>
            <w:vAlign w:val="center"/>
          </w:tcPr>
          <w:p w14:paraId="7F2F2DE9"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2268" w:type="dxa"/>
            <w:tcBorders>
              <w:top w:val="single" w:sz="4" w:space="0" w:color="auto"/>
              <w:left w:val="single" w:sz="4" w:space="0" w:color="auto"/>
              <w:bottom w:val="single" w:sz="4" w:space="0" w:color="auto"/>
              <w:right w:val="single" w:sz="8" w:space="0" w:color="000000"/>
            </w:tcBorders>
            <w:vAlign w:val="center"/>
          </w:tcPr>
          <w:p w14:paraId="50012D25" w14:textId="77777777" w:rsidR="004E2FDC"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3.6</w:t>
            </w:r>
          </w:p>
        </w:tc>
      </w:tr>
      <w:tr w:rsidR="004E2FDC" w:rsidRPr="00B34BBA" w14:paraId="273959B6" w14:textId="77777777" w:rsidTr="00B112D6">
        <w:trPr>
          <w:trHeight w:val="289"/>
        </w:trPr>
        <w:tc>
          <w:tcPr>
            <w:tcW w:w="1725" w:type="dxa"/>
            <w:tcBorders>
              <w:top w:val="nil"/>
              <w:left w:val="single" w:sz="8" w:space="0" w:color="auto"/>
              <w:bottom w:val="single" w:sz="4" w:space="0" w:color="auto"/>
              <w:right w:val="single" w:sz="4" w:space="0" w:color="auto"/>
            </w:tcBorders>
            <w:shd w:val="clear" w:color="auto" w:fill="auto"/>
            <w:noWrap/>
            <w:vAlign w:val="center"/>
            <w:hideMark/>
          </w:tcPr>
          <w:p w14:paraId="6C79B261"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PMLD 5 students</w:t>
            </w:r>
          </w:p>
        </w:tc>
        <w:tc>
          <w:tcPr>
            <w:tcW w:w="928" w:type="dxa"/>
            <w:tcBorders>
              <w:top w:val="nil"/>
              <w:left w:val="nil"/>
              <w:bottom w:val="single" w:sz="4" w:space="0" w:color="auto"/>
              <w:right w:val="nil"/>
            </w:tcBorders>
            <w:shd w:val="clear" w:color="auto" w:fill="auto"/>
            <w:noWrap/>
            <w:vAlign w:val="center"/>
          </w:tcPr>
          <w:p w14:paraId="13BD2967" w14:textId="1812B5A4" w:rsidR="004E2FDC" w:rsidRPr="00B34BBA" w:rsidRDefault="00B112D6"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239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EA1920"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2</w:t>
            </w:r>
          </w:p>
        </w:tc>
        <w:tc>
          <w:tcPr>
            <w:tcW w:w="2444" w:type="dxa"/>
            <w:tcBorders>
              <w:top w:val="single" w:sz="4" w:space="0" w:color="auto"/>
              <w:left w:val="single" w:sz="4" w:space="0" w:color="auto"/>
              <w:bottom w:val="single" w:sz="4" w:space="0" w:color="auto"/>
              <w:right w:val="single" w:sz="8" w:space="0" w:color="000000"/>
            </w:tcBorders>
            <w:vAlign w:val="center"/>
          </w:tcPr>
          <w:p w14:paraId="61D2D01E"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2268" w:type="dxa"/>
            <w:tcBorders>
              <w:top w:val="single" w:sz="4" w:space="0" w:color="auto"/>
              <w:left w:val="single" w:sz="4" w:space="0" w:color="auto"/>
              <w:bottom w:val="single" w:sz="4" w:space="0" w:color="auto"/>
              <w:right w:val="single" w:sz="8" w:space="0" w:color="000000"/>
            </w:tcBorders>
            <w:vAlign w:val="center"/>
          </w:tcPr>
          <w:p w14:paraId="6F86F386" w14:textId="77777777" w:rsidR="004E2FDC"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2.25</w:t>
            </w:r>
          </w:p>
        </w:tc>
      </w:tr>
      <w:tr w:rsidR="004E2FDC" w:rsidRPr="00B34BBA" w14:paraId="7D37CC89" w14:textId="77777777" w:rsidTr="00B112D6">
        <w:trPr>
          <w:trHeight w:val="289"/>
        </w:trPr>
        <w:tc>
          <w:tcPr>
            <w:tcW w:w="1725" w:type="dxa"/>
            <w:tcBorders>
              <w:top w:val="nil"/>
              <w:left w:val="single" w:sz="8" w:space="0" w:color="auto"/>
              <w:bottom w:val="single" w:sz="4" w:space="0" w:color="auto"/>
              <w:right w:val="single" w:sz="4" w:space="0" w:color="auto"/>
            </w:tcBorders>
            <w:shd w:val="clear" w:color="auto" w:fill="auto"/>
            <w:noWrap/>
            <w:vAlign w:val="center"/>
            <w:hideMark/>
          </w:tcPr>
          <w:p w14:paraId="5E3362AC"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ASC 2 students</w:t>
            </w:r>
          </w:p>
        </w:tc>
        <w:tc>
          <w:tcPr>
            <w:tcW w:w="928" w:type="dxa"/>
            <w:tcBorders>
              <w:top w:val="nil"/>
              <w:left w:val="nil"/>
              <w:bottom w:val="single" w:sz="4" w:space="0" w:color="auto"/>
              <w:right w:val="nil"/>
            </w:tcBorders>
            <w:shd w:val="clear" w:color="auto" w:fill="auto"/>
            <w:noWrap/>
            <w:vAlign w:val="center"/>
          </w:tcPr>
          <w:p w14:paraId="745D4C3A" w14:textId="20CF0116" w:rsidR="004E2FDC" w:rsidRPr="00B34BBA" w:rsidRDefault="00B112D6"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239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A4254EA"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3</w:t>
            </w:r>
          </w:p>
        </w:tc>
        <w:tc>
          <w:tcPr>
            <w:tcW w:w="2444" w:type="dxa"/>
            <w:tcBorders>
              <w:top w:val="single" w:sz="4" w:space="0" w:color="auto"/>
              <w:left w:val="single" w:sz="4" w:space="0" w:color="auto"/>
              <w:bottom w:val="single" w:sz="4" w:space="0" w:color="auto"/>
              <w:right w:val="single" w:sz="8" w:space="0" w:color="000000"/>
            </w:tcBorders>
            <w:vAlign w:val="center"/>
          </w:tcPr>
          <w:p w14:paraId="1DC07AFD"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2268" w:type="dxa"/>
            <w:tcBorders>
              <w:top w:val="single" w:sz="4" w:space="0" w:color="auto"/>
              <w:left w:val="single" w:sz="4" w:space="0" w:color="auto"/>
              <w:bottom w:val="single" w:sz="4" w:space="0" w:color="auto"/>
              <w:right w:val="single" w:sz="8" w:space="0" w:color="000000"/>
            </w:tcBorders>
            <w:vAlign w:val="center"/>
          </w:tcPr>
          <w:p w14:paraId="7C3AF78D" w14:textId="77777777" w:rsidR="004E2FDC"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r>
      <w:tr w:rsidR="004E2FDC" w:rsidRPr="00B34BBA" w14:paraId="0BD9186D" w14:textId="77777777" w:rsidTr="00B112D6">
        <w:trPr>
          <w:trHeight w:val="289"/>
        </w:trPr>
        <w:tc>
          <w:tcPr>
            <w:tcW w:w="1725" w:type="dxa"/>
            <w:tcBorders>
              <w:top w:val="nil"/>
              <w:left w:val="single" w:sz="8" w:space="0" w:color="auto"/>
              <w:bottom w:val="single" w:sz="4" w:space="0" w:color="auto"/>
              <w:right w:val="single" w:sz="4" w:space="0" w:color="auto"/>
            </w:tcBorders>
            <w:shd w:val="clear" w:color="auto" w:fill="auto"/>
            <w:noWrap/>
            <w:vAlign w:val="center"/>
            <w:hideMark/>
          </w:tcPr>
          <w:p w14:paraId="60AEAEC3"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ASC 2 students</w:t>
            </w:r>
          </w:p>
        </w:tc>
        <w:tc>
          <w:tcPr>
            <w:tcW w:w="928" w:type="dxa"/>
            <w:tcBorders>
              <w:top w:val="nil"/>
              <w:left w:val="nil"/>
              <w:bottom w:val="single" w:sz="4" w:space="0" w:color="auto"/>
              <w:right w:val="nil"/>
            </w:tcBorders>
            <w:shd w:val="clear" w:color="auto" w:fill="auto"/>
            <w:noWrap/>
            <w:vAlign w:val="center"/>
          </w:tcPr>
          <w:p w14:paraId="28734695" w14:textId="40697EC9" w:rsidR="004E2FDC" w:rsidRPr="00B34BBA" w:rsidRDefault="00B112D6"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239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9679080"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3</w:t>
            </w:r>
          </w:p>
        </w:tc>
        <w:tc>
          <w:tcPr>
            <w:tcW w:w="2444" w:type="dxa"/>
            <w:tcBorders>
              <w:top w:val="single" w:sz="4" w:space="0" w:color="auto"/>
              <w:left w:val="single" w:sz="4" w:space="0" w:color="auto"/>
              <w:bottom w:val="single" w:sz="4" w:space="0" w:color="auto"/>
              <w:right w:val="single" w:sz="8" w:space="0" w:color="000000"/>
            </w:tcBorders>
            <w:vAlign w:val="center"/>
          </w:tcPr>
          <w:p w14:paraId="451F7E8D"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w:t>
            </w:r>
          </w:p>
        </w:tc>
        <w:tc>
          <w:tcPr>
            <w:tcW w:w="2268" w:type="dxa"/>
            <w:tcBorders>
              <w:top w:val="single" w:sz="4" w:space="0" w:color="auto"/>
              <w:left w:val="single" w:sz="4" w:space="0" w:color="auto"/>
              <w:bottom w:val="single" w:sz="4" w:space="0" w:color="auto"/>
              <w:right w:val="single" w:sz="8" w:space="0" w:color="000000"/>
            </w:tcBorders>
            <w:vAlign w:val="center"/>
          </w:tcPr>
          <w:p w14:paraId="6446D152" w14:textId="5ADF4AC3" w:rsidR="004E2FDC" w:rsidRDefault="0043342B"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p>
        </w:tc>
      </w:tr>
      <w:tr w:rsidR="004E2FDC" w:rsidRPr="00B34BBA" w14:paraId="219B8809" w14:textId="77777777" w:rsidTr="00B112D6">
        <w:trPr>
          <w:trHeight w:val="301"/>
        </w:trPr>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228AB4B6"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ASC 2 students</w:t>
            </w:r>
          </w:p>
        </w:tc>
        <w:tc>
          <w:tcPr>
            <w:tcW w:w="928" w:type="dxa"/>
            <w:tcBorders>
              <w:top w:val="nil"/>
              <w:left w:val="nil"/>
              <w:bottom w:val="single" w:sz="8" w:space="0" w:color="auto"/>
              <w:right w:val="nil"/>
            </w:tcBorders>
            <w:shd w:val="clear" w:color="auto" w:fill="auto"/>
            <w:noWrap/>
            <w:vAlign w:val="center"/>
          </w:tcPr>
          <w:p w14:paraId="3E437CEA" w14:textId="2A31BE09" w:rsidR="004E2FDC" w:rsidRPr="00B34BBA" w:rsidRDefault="00B112D6"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2396"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3E1BEBD5" w14:textId="77777777" w:rsidR="004E2FDC" w:rsidRPr="00B34BBA" w:rsidRDefault="004E2FDC" w:rsidP="004E2FDC">
            <w:pPr>
              <w:spacing w:after="0" w:line="240" w:lineRule="auto"/>
              <w:jc w:val="center"/>
              <w:rPr>
                <w:rFonts w:ascii="Calibri" w:eastAsia="Times New Roman" w:hAnsi="Calibri" w:cs="Calibri"/>
                <w:color w:val="000000"/>
                <w:lang w:eastAsia="en-GB"/>
              </w:rPr>
            </w:pPr>
            <w:r w:rsidRPr="00B34BBA">
              <w:rPr>
                <w:rFonts w:ascii="Calibri" w:eastAsia="Times New Roman" w:hAnsi="Calibri" w:cs="Calibri"/>
                <w:color w:val="000000"/>
                <w:lang w:eastAsia="en-GB"/>
              </w:rPr>
              <w:t>3</w:t>
            </w:r>
          </w:p>
        </w:tc>
        <w:tc>
          <w:tcPr>
            <w:tcW w:w="2444" w:type="dxa"/>
            <w:tcBorders>
              <w:top w:val="single" w:sz="4" w:space="0" w:color="auto"/>
              <w:left w:val="single" w:sz="4" w:space="0" w:color="auto"/>
              <w:bottom w:val="single" w:sz="8" w:space="0" w:color="auto"/>
              <w:right w:val="single" w:sz="8" w:space="0" w:color="000000"/>
            </w:tcBorders>
            <w:vAlign w:val="center"/>
          </w:tcPr>
          <w:p w14:paraId="50332784" w14:textId="77777777" w:rsidR="004E2FDC" w:rsidRPr="00B34BBA"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268" w:type="dxa"/>
            <w:tcBorders>
              <w:top w:val="single" w:sz="4" w:space="0" w:color="auto"/>
              <w:left w:val="single" w:sz="4" w:space="0" w:color="auto"/>
              <w:bottom w:val="single" w:sz="8" w:space="0" w:color="auto"/>
              <w:right w:val="single" w:sz="8" w:space="0" w:color="000000"/>
            </w:tcBorders>
            <w:vAlign w:val="center"/>
          </w:tcPr>
          <w:p w14:paraId="557FC453" w14:textId="77777777" w:rsidR="004E2FDC" w:rsidRDefault="004E2FDC" w:rsidP="004E2FD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TBC</w:t>
            </w:r>
          </w:p>
        </w:tc>
      </w:tr>
    </w:tbl>
    <w:p w14:paraId="36F71606" w14:textId="77777777" w:rsidR="004E2FDC" w:rsidRPr="00A23BAA" w:rsidRDefault="004E2FDC" w:rsidP="00C6518B">
      <w:pPr>
        <w:jc w:val="both"/>
        <w:rPr>
          <w:rFonts w:ascii="Arial" w:hAnsi="Arial" w:cs="Arial"/>
          <w:lang w:val="en-US"/>
        </w:rPr>
      </w:pPr>
    </w:p>
    <w:p w14:paraId="7B96E78E" w14:textId="70DB6EF7" w:rsidR="006511ED" w:rsidRDefault="00C6518B" w:rsidP="00C6518B">
      <w:pPr>
        <w:jc w:val="both"/>
        <w:rPr>
          <w:rFonts w:ascii="Arial" w:hAnsi="Arial" w:cs="Arial"/>
          <w:lang w:val="en-US"/>
        </w:rPr>
      </w:pPr>
      <w:r>
        <w:rPr>
          <w:rFonts w:ascii="Arial" w:hAnsi="Arial" w:cs="Arial"/>
          <w:lang w:val="en-US"/>
        </w:rPr>
        <w:t>Preparation for Adulthood (</w:t>
      </w:r>
      <w:proofErr w:type="spellStart"/>
      <w:r w:rsidR="006511ED" w:rsidRPr="00A23BAA">
        <w:rPr>
          <w:rFonts w:ascii="Arial" w:hAnsi="Arial" w:cs="Arial"/>
          <w:lang w:val="en-US"/>
        </w:rPr>
        <w:t>PfA</w:t>
      </w:r>
      <w:proofErr w:type="spellEnd"/>
      <w:r>
        <w:rPr>
          <w:rFonts w:ascii="Arial" w:hAnsi="Arial" w:cs="Arial"/>
          <w:lang w:val="en-US"/>
        </w:rPr>
        <w:t>)</w:t>
      </w:r>
      <w:r w:rsidR="00E2097F">
        <w:rPr>
          <w:rFonts w:ascii="Arial" w:hAnsi="Arial" w:cs="Arial"/>
          <w:lang w:val="en-US"/>
        </w:rPr>
        <w:t xml:space="preserve"> </w:t>
      </w:r>
      <w:r>
        <w:rPr>
          <w:rFonts w:ascii="Arial" w:hAnsi="Arial" w:cs="Arial"/>
          <w:lang w:val="en-US"/>
        </w:rPr>
        <w:t>–</w:t>
      </w:r>
      <w:r w:rsidR="00E2097F">
        <w:rPr>
          <w:rFonts w:ascii="Arial" w:hAnsi="Arial" w:cs="Arial"/>
          <w:lang w:val="en-US"/>
        </w:rPr>
        <w:t xml:space="preserve"> </w:t>
      </w:r>
      <w:r>
        <w:rPr>
          <w:rFonts w:ascii="Arial" w:hAnsi="Arial" w:cs="Arial"/>
          <w:lang w:val="en-US"/>
        </w:rPr>
        <w:t xml:space="preserve">Many of our post-14 students come to a point in their learning where functional skills for life after school move to the forefront of their learning, alongside embedded literacy and numeracy skills. These goals link closely to the Education, </w:t>
      </w:r>
      <w:proofErr w:type="spellStart"/>
      <w:r>
        <w:rPr>
          <w:rFonts w:ascii="Arial" w:hAnsi="Arial" w:cs="Arial"/>
          <w:lang w:val="en-US"/>
        </w:rPr>
        <w:t>Heath</w:t>
      </w:r>
      <w:proofErr w:type="spellEnd"/>
      <w:r>
        <w:rPr>
          <w:rFonts w:ascii="Arial" w:hAnsi="Arial" w:cs="Arial"/>
          <w:lang w:val="en-US"/>
        </w:rPr>
        <w:t xml:space="preserve"> and Care Plan </w:t>
      </w:r>
      <w:proofErr w:type="spellStart"/>
      <w:r>
        <w:rPr>
          <w:rFonts w:ascii="Arial" w:hAnsi="Arial" w:cs="Arial"/>
          <w:lang w:val="en-US"/>
        </w:rPr>
        <w:t>PfA</w:t>
      </w:r>
      <w:proofErr w:type="spellEnd"/>
      <w:r>
        <w:rPr>
          <w:rFonts w:ascii="Arial" w:hAnsi="Arial" w:cs="Arial"/>
          <w:lang w:val="en-US"/>
        </w:rPr>
        <w:t xml:space="preserve"> outcomes and are student specific. As these link so closely to IEPs, these will be quantitatively tracked as outlined below.</w:t>
      </w:r>
    </w:p>
    <w:p w14:paraId="2D3CDBF7" w14:textId="6EE19444" w:rsidR="00C6518B" w:rsidRPr="00A23BAA" w:rsidRDefault="00C6518B" w:rsidP="00C6518B">
      <w:pPr>
        <w:jc w:val="both"/>
        <w:rPr>
          <w:rFonts w:ascii="Arial" w:hAnsi="Arial" w:cs="Arial"/>
          <w:lang w:val="en-US"/>
        </w:rPr>
      </w:pPr>
      <w:r>
        <w:rPr>
          <w:rFonts w:ascii="Arial" w:hAnsi="Arial" w:cs="Arial"/>
          <w:lang w:val="en-US"/>
        </w:rPr>
        <w:t xml:space="preserve">Accreditation – We are aspirational for our students who are able to access appropriate accreditations. In the year 22-23 we are looking at students achieving Entry Levels through </w:t>
      </w:r>
      <w:r w:rsidR="00754192">
        <w:rPr>
          <w:rFonts w:ascii="Arial" w:hAnsi="Arial" w:cs="Arial"/>
          <w:lang w:val="en-US"/>
        </w:rPr>
        <w:t>Pearson</w:t>
      </w:r>
      <w:r>
        <w:rPr>
          <w:rFonts w:ascii="Arial" w:hAnsi="Arial" w:cs="Arial"/>
          <w:lang w:val="en-US"/>
        </w:rPr>
        <w:t xml:space="preserve"> in a range of curriculum subjects, </w:t>
      </w:r>
      <w:r w:rsidR="00754192">
        <w:rPr>
          <w:rFonts w:ascii="Arial" w:hAnsi="Arial" w:cs="Arial"/>
          <w:lang w:val="en-US"/>
        </w:rPr>
        <w:t>AQA unit awards</w:t>
      </w:r>
      <w:r>
        <w:rPr>
          <w:rFonts w:ascii="Arial" w:hAnsi="Arial" w:cs="Arial"/>
          <w:lang w:val="en-US"/>
        </w:rPr>
        <w:t>, the Duke of Edinburgh Award and the OPT Award (adapted DofE for students with profound and multiple learning difficulties).</w:t>
      </w:r>
      <w:r w:rsidR="00B112D6">
        <w:rPr>
          <w:rFonts w:ascii="Arial" w:hAnsi="Arial" w:cs="Arial"/>
          <w:lang w:val="en-US"/>
        </w:rPr>
        <w:t xml:space="preserve"> Each student has an individually planned accreditation pathway. </w:t>
      </w:r>
    </w:p>
    <w:p w14:paraId="209EEE31" w14:textId="401DD790" w:rsidR="006511ED" w:rsidRPr="00A23BAA" w:rsidRDefault="00D14FB4" w:rsidP="00D14FB4">
      <w:pPr>
        <w:jc w:val="both"/>
        <w:rPr>
          <w:rFonts w:ascii="Arial" w:hAnsi="Arial" w:cs="Arial"/>
          <w:lang w:val="en-US"/>
        </w:rPr>
      </w:pPr>
      <w:r>
        <w:rPr>
          <w:rFonts w:ascii="Arial" w:hAnsi="Arial" w:cs="Arial"/>
          <w:lang w:val="en-US"/>
        </w:rPr>
        <w:t>Individual Education Plans (IEPs) – All students have IEP targets which work towards the outcomes set in their Education, Health and Care Plan. Historically these have been assessed by qualitative commentary using teacher judgement. For the 22-23 year we are trialing a quantitative measure alongside this to track progress across the year.</w:t>
      </w:r>
      <w:r w:rsidR="00E2097F">
        <w:rPr>
          <w:rFonts w:ascii="Arial" w:hAnsi="Arial" w:cs="Arial"/>
          <w:lang w:val="en-US"/>
        </w:rPr>
        <w:t xml:space="preserve"> </w:t>
      </w:r>
    </w:p>
    <w:sectPr w:rsidR="006511ED" w:rsidRPr="00A23BAA" w:rsidSect="006561ED">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5E75" w14:textId="77777777" w:rsidR="00DD47F5" w:rsidRDefault="00DD47F5" w:rsidP="00DD47F5">
      <w:pPr>
        <w:spacing w:after="0" w:line="240" w:lineRule="auto"/>
      </w:pPr>
      <w:r>
        <w:separator/>
      </w:r>
    </w:p>
  </w:endnote>
  <w:endnote w:type="continuationSeparator" w:id="0">
    <w:p w14:paraId="64FE67AD" w14:textId="77777777" w:rsidR="00DD47F5" w:rsidRDefault="00DD47F5" w:rsidP="00DD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A1A7" w14:textId="77777777" w:rsidR="00DD47F5" w:rsidRDefault="00DD47F5" w:rsidP="00DD47F5">
      <w:pPr>
        <w:spacing w:after="0" w:line="240" w:lineRule="auto"/>
      </w:pPr>
      <w:r>
        <w:separator/>
      </w:r>
    </w:p>
  </w:footnote>
  <w:footnote w:type="continuationSeparator" w:id="0">
    <w:p w14:paraId="04B220C4" w14:textId="77777777" w:rsidR="00DD47F5" w:rsidRDefault="00DD47F5" w:rsidP="00DD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6AA4" w14:textId="2ECB99A6" w:rsidR="00DD47F5" w:rsidRDefault="00DD47F5" w:rsidP="00DD47F5">
    <w:pPr>
      <w:pStyle w:val="Header"/>
    </w:pPr>
    <w:r>
      <w:rPr>
        <w:noProof/>
      </w:rPr>
      <w:drawing>
        <wp:anchor distT="0" distB="0" distL="114300" distR="114300" simplePos="0" relativeHeight="251658240" behindDoc="1" locked="0" layoutInCell="1" allowOverlap="1" wp14:anchorId="2E551BBC" wp14:editId="259A6F58">
          <wp:simplePos x="0" y="0"/>
          <wp:positionH relativeFrom="column">
            <wp:posOffset>8115300</wp:posOffset>
          </wp:positionH>
          <wp:positionV relativeFrom="paragraph">
            <wp:posOffset>0</wp:posOffset>
          </wp:positionV>
          <wp:extent cx="1572895" cy="701040"/>
          <wp:effectExtent l="0" t="0" r="8255" b="3810"/>
          <wp:wrapTight wrapText="bothSides">
            <wp:wrapPolygon edited="0">
              <wp:start x="0" y="0"/>
              <wp:lineTo x="0" y="21130"/>
              <wp:lineTo x="21452" y="21130"/>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701040"/>
                  </a:xfrm>
                  <a:prstGeom prst="rect">
                    <a:avLst/>
                  </a:prstGeom>
                  <a:noFill/>
                </pic:spPr>
              </pic:pic>
            </a:graphicData>
          </a:graphic>
        </wp:anchor>
      </w:drawing>
    </w:r>
    <w:r>
      <w:rPr>
        <w:rFonts w:ascii="Arial" w:hAnsi="Arial" w:cs="Arial"/>
        <w:b/>
        <w:bCs/>
        <w:sz w:val="24"/>
        <w:szCs w:val="24"/>
      </w:rPr>
      <w:t>Northern Counties School Progress Summary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BB"/>
    <w:rsid w:val="00157637"/>
    <w:rsid w:val="001A1D2C"/>
    <w:rsid w:val="002F47D9"/>
    <w:rsid w:val="0043342B"/>
    <w:rsid w:val="00493FD5"/>
    <w:rsid w:val="004C0781"/>
    <w:rsid w:val="004E2FDC"/>
    <w:rsid w:val="004F6093"/>
    <w:rsid w:val="006511ED"/>
    <w:rsid w:val="006561ED"/>
    <w:rsid w:val="00754192"/>
    <w:rsid w:val="009A51E7"/>
    <w:rsid w:val="009B7167"/>
    <w:rsid w:val="00A031D2"/>
    <w:rsid w:val="00A23BAA"/>
    <w:rsid w:val="00B112D6"/>
    <w:rsid w:val="00B614BB"/>
    <w:rsid w:val="00B63413"/>
    <w:rsid w:val="00C6518B"/>
    <w:rsid w:val="00CD4F4C"/>
    <w:rsid w:val="00D14FB4"/>
    <w:rsid w:val="00DB7D70"/>
    <w:rsid w:val="00DD47F5"/>
    <w:rsid w:val="00E2097F"/>
    <w:rsid w:val="00E20FE2"/>
    <w:rsid w:val="00E94EAF"/>
    <w:rsid w:val="00EC292D"/>
    <w:rsid w:val="00F1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A0EA"/>
  <w15:chartTrackingRefBased/>
  <w15:docId w15:val="{C0F5AA14-1810-4BA0-AF4E-180FBD3A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7F5"/>
  </w:style>
  <w:style w:type="paragraph" w:styleId="Footer">
    <w:name w:val="footer"/>
    <w:basedOn w:val="Normal"/>
    <w:link w:val="FooterChar"/>
    <w:uiPriority w:val="99"/>
    <w:unhideWhenUsed/>
    <w:rsid w:val="00DD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Field</dc:creator>
  <cp:keywords/>
  <dc:description/>
  <cp:lastModifiedBy>Ros Field</cp:lastModifiedBy>
  <cp:revision>10</cp:revision>
  <dcterms:created xsi:type="dcterms:W3CDTF">2022-11-22T18:21:00Z</dcterms:created>
  <dcterms:modified xsi:type="dcterms:W3CDTF">2023-02-17T13:25:00Z</dcterms:modified>
</cp:coreProperties>
</file>